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1"/>
        <w:ind w:firstLine="472"/>
        <w:jc w:val="center"/>
        <w:pageBreakBefore w:val="0"/>
        <w:spacing w:line="360" w:lineRule="auto"/>
        <w:rPr>
          <w:rFonts w:hint="eastAsia" w:ascii="新宋体" w:hAnsi="新宋体" w:eastAsia="新宋体"/>
          <w:b/>
          <w:bCs/>
          <w:color w:val="auto"/>
          <w:sz w:val="96"/>
          <w:szCs w:val="96"/>
          <w:highlight w:val="none"/>
        </w:rPr>
      </w:pPr>
      <w:r>
        <w:rPr>
          <w:rFonts w:hint="eastAsia" w:ascii="新宋体" w:hAnsi="新宋体" w:eastAsia="新宋体"/>
          <w:b/>
          <w:bCs/>
          <w:color w:val="auto"/>
          <w:sz w:val="84"/>
          <w:szCs w:val="84"/>
          <w:highlight w:val="none"/>
        </w:rPr>
      </w:r>
      <w:r>
        <w:rPr>
          <w:rFonts w:hint="eastAsia" w:ascii="新宋体" w:hAnsi="新宋体" w:eastAsia="新宋体"/>
          <w:b/>
          <w:bCs/>
          <w:color w:val="auto"/>
          <w:sz w:val="84"/>
          <w:szCs w:val="84"/>
          <w:highlight w:val="none"/>
        </w:rPr>
      </w:r>
      <w:r/>
    </w:p>
    <w:p>
      <w:pPr>
        <w:pStyle w:val="1201"/>
        <w:ind w:firstLine="472"/>
        <w:jc w:val="center"/>
        <w:pageBreakBefore w:val="0"/>
        <w:spacing w:line="360" w:lineRule="auto"/>
        <w:rPr>
          <w:rFonts w:hint="eastAsia" w:ascii="新宋体" w:hAnsi="新宋体" w:eastAsia="新宋体"/>
          <w:b/>
          <w:bCs/>
          <w:color w:val="auto"/>
          <w:sz w:val="84"/>
          <w:szCs w:val="84"/>
          <w:highlight w:val="none"/>
        </w:rPr>
      </w:pPr>
      <w:r>
        <w:rPr>
          <w:rFonts w:hint="eastAsia" w:ascii="新宋体" w:hAnsi="新宋体" w:eastAsia="新宋体"/>
          <w:b/>
          <w:bCs/>
          <w:color w:val="auto"/>
          <w:sz w:val="84"/>
          <w:szCs w:val="84"/>
          <w:highlight w:val="none"/>
        </w:rPr>
        <w:t xml:space="preserve">竞争性磋商文件</w:t>
      </w:r>
      <w:r/>
    </w:p>
    <w:p>
      <w:pPr>
        <w:pStyle w:val="1201"/>
        <w:ind w:firstLine="0"/>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1201"/>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01"/>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01"/>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01"/>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01"/>
        <w:ind w:left="2883" w:hanging="1606"/>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项目名称：</w:t>
      </w:r>
      <w:r>
        <w:rPr>
          <w:rFonts w:hint="eastAsia" w:ascii="新宋体" w:hAnsi="新宋体" w:eastAsia="新宋体"/>
          <w:b/>
          <w:bCs/>
          <w:color w:val="auto"/>
          <w:sz w:val="32"/>
          <w:szCs w:val="32"/>
          <w:highlight w:val="none"/>
          <w:lang w:eastAsia="zh-CN"/>
        </w:rPr>
        <w:t xml:space="preserve">泰州生物医药产业园专职消防救援站消防通信器材</w:t>
      </w:r>
      <w:r/>
    </w:p>
    <w:p>
      <w:pPr>
        <w:pStyle w:val="1201"/>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项目编号：</w:t>
      </w:r>
      <w:r>
        <w:rPr>
          <w:rFonts w:hint="eastAsia" w:ascii="新宋体" w:hAnsi="新宋体" w:eastAsia="新宋体"/>
          <w:b/>
          <w:bCs/>
          <w:color w:val="auto"/>
          <w:sz w:val="32"/>
          <w:szCs w:val="32"/>
          <w:highlight w:val="none"/>
          <w:lang w:eastAsia="zh-CN"/>
        </w:rPr>
        <w:t xml:space="preserve">JSZC-321203-HQGC-C2026-0001</w:t>
      </w:r>
      <w:r/>
    </w:p>
    <w:p>
      <w:pPr>
        <w:pStyle w:val="1201"/>
        <w:ind w:left="2883" w:hanging="1606"/>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 购 人：</w:t>
      </w:r>
      <w:r>
        <w:rPr>
          <w:rFonts w:hint="eastAsia" w:ascii="新宋体" w:hAnsi="新宋体" w:eastAsia="新宋体"/>
          <w:b/>
          <w:bCs/>
          <w:color w:val="auto"/>
          <w:sz w:val="32"/>
          <w:szCs w:val="32"/>
          <w:highlight w:val="none"/>
          <w:lang w:eastAsia="zh-CN"/>
        </w:rPr>
        <w:t xml:space="preserve">泰州医药高新技术产业开发区（泰州市高港区）医药产业园管理办公室 </w:t>
      </w:r>
      <w:r/>
    </w:p>
    <w:p>
      <w:pPr>
        <w:ind w:firstLine="480"/>
        <w:jc w:val="center"/>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采购代理：江苏华强工程投资管理咨询有限公司</w:t>
      </w:r>
      <w:r/>
    </w:p>
    <w:p>
      <w:pPr>
        <w:pStyle w:val="1201"/>
        <w:ind w:firstLine="643"/>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202</w:t>
      </w:r>
      <w:r>
        <w:rPr>
          <w:rFonts w:hint="eastAsia" w:ascii="新宋体" w:hAnsi="新宋体" w:eastAsia="新宋体"/>
          <w:b/>
          <w:bCs/>
          <w:color w:val="auto"/>
          <w:sz w:val="32"/>
          <w:szCs w:val="32"/>
          <w:highlight w:val="none"/>
          <w:lang w:val="en-US" w:eastAsia="zh-CN"/>
        </w:rPr>
        <w:t xml:space="preserve">6</w:t>
      </w:r>
      <w:r>
        <w:rPr>
          <w:rFonts w:hint="eastAsia" w:ascii="新宋体" w:hAnsi="新宋体" w:eastAsia="新宋体"/>
          <w:b/>
          <w:bCs/>
          <w:color w:val="auto"/>
          <w:sz w:val="32"/>
          <w:szCs w:val="32"/>
          <w:highlight w:val="none"/>
        </w:rPr>
        <w:t xml:space="preserve">年</w:t>
      </w:r>
      <w:r>
        <w:rPr>
          <w:rFonts w:hint="eastAsia" w:ascii="新宋体" w:hAnsi="新宋体" w:eastAsia="新宋体"/>
          <w:b/>
          <w:bCs/>
          <w:color w:val="auto"/>
          <w:sz w:val="32"/>
          <w:szCs w:val="32"/>
          <w:highlight w:val="none"/>
          <w:lang w:val="en-US" w:eastAsia="zh-CN"/>
        </w:rPr>
        <w:t xml:space="preserve">1</w:t>
      </w:r>
      <w:r>
        <w:rPr>
          <w:rFonts w:hint="eastAsia" w:ascii="新宋体" w:hAnsi="新宋体" w:eastAsia="新宋体"/>
          <w:b/>
          <w:bCs/>
          <w:color w:val="auto"/>
          <w:sz w:val="32"/>
          <w:szCs w:val="32"/>
          <w:highlight w:val="none"/>
        </w:rPr>
        <w:t xml:space="preserve">月</w:t>
      </w:r>
      <w:r/>
    </w:p>
    <w:p>
      <w:pPr>
        <w:pStyle w:val="1201"/>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01"/>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02"/>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color w:val="auto"/>
          <w:highlight w:val="none"/>
          <w:lang w:val="zh-CN"/>
        </w:rPr>
      </w:pPr>
      <w:r>
        <w:rPr>
          <w:color w:val="auto"/>
          <w:highlight w:val="none"/>
          <w:lang w:val="zh-CN"/>
        </w:rPr>
      </w:r>
      <w:r/>
    </w:p>
    <w:p>
      <w:pPr>
        <w:pStyle w:val="1192"/>
        <w:pageBreakBefore w:val="0"/>
        <w:spacing w:line="360" w:lineRule="auto"/>
        <w:rPr>
          <w:rFonts w:hint="eastAsia" w:ascii="宋体" w:hAnsi="宋体" w:eastAsia="宋体"/>
          <w:caps w:val="0"/>
          <w:color w:val="auto"/>
          <w:sz w:val="21"/>
          <w:szCs w:val="21"/>
          <w:highlight w:val="none"/>
        </w:rPr>
      </w:pPr>
      <w:r>
        <w:rPr>
          <w:rStyle w:val="1200"/>
          <w:rFonts w:ascii="宋体" w:hAnsi="宋体"/>
          <w:color w:val="auto"/>
          <w:highlight w:val="none"/>
        </w:rPr>
        <w:fldChar w:fldCharType="begin"/>
      </w:r>
      <w:r>
        <w:rPr>
          <w:rStyle w:val="1200"/>
          <w:rFonts w:ascii="宋体" w:hAnsi="宋体"/>
          <w:color w:val="auto"/>
          <w:highlight w:val="none"/>
        </w:rPr>
        <w:instrText xml:space="preserve"> TOC \o "1-1" \h \z \u </w:instrText>
      </w:r>
      <w:r>
        <w:rPr>
          <w:rStyle w:val="1200"/>
          <w:rFonts w:ascii="宋体" w:hAnsi="宋体"/>
          <w:color w:val="auto"/>
          <w:highlight w:val="none"/>
        </w:rPr>
        <w:fldChar w:fldCharType="separate"/>
      </w: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第一章 竞争性磋商采购公告</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_Toc86268900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1192"/>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第二章 参加磋商供应商须知</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7</w:t>
      </w:r>
      <w:r>
        <w:rPr>
          <w:rFonts w:hint="eastAsia" w:ascii="宋体" w:hAnsi="宋体" w:eastAsia="宋体"/>
          <w:caps w:val="0"/>
          <w:color w:val="auto"/>
          <w:sz w:val="21"/>
          <w:szCs w:val="21"/>
          <w:highlight w:val="none"/>
        </w:rPr>
        <w:fldChar w:fldCharType="end"/>
      </w:r>
      <w:r/>
    </w:p>
    <w:p>
      <w:pPr>
        <w:pStyle w:val="1192"/>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"_Toc86268901" </w:instrText>
      </w:r>
      <w:r>
        <w:rPr>
          <w:color w:val="auto"/>
          <w:highlight w:val="none"/>
        </w:rPr>
        <w:fldChar w:fldCharType="separate"/>
      </w:r>
      <w:r>
        <w:rPr>
          <w:rFonts w:hint="eastAsia" w:ascii="宋体" w:hAnsi="宋体" w:eastAsia="宋体"/>
          <w:caps w:val="0"/>
          <w:color w:val="auto"/>
          <w:sz w:val="21"/>
          <w:szCs w:val="21"/>
          <w:highlight w:val="none"/>
        </w:rPr>
        <w:t xml:space="preserve">第三章 合同条款及格式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_Toc86268901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w:t>
      </w:r>
      <w:r>
        <w:rPr>
          <w:rFonts w:hint="eastAsia" w:ascii="宋体" w:hAnsi="宋体" w:eastAsia="宋体"/>
          <w:caps w:val="0"/>
          <w:color w:val="auto"/>
          <w:sz w:val="21"/>
          <w:szCs w:val="21"/>
          <w:highlight w:val="none"/>
          <w:lang w:val="en-US" w:eastAsia="zh-CN"/>
        </w:rPr>
        <w:t xml:space="preserve">2</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1192"/>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"_Toc86268902" </w:instrText>
      </w:r>
      <w:r>
        <w:rPr>
          <w:color w:val="auto"/>
          <w:highlight w:val="none"/>
        </w:rPr>
        <w:fldChar w:fldCharType="separate"/>
      </w:r>
      <w:r>
        <w:rPr>
          <w:rFonts w:hint="eastAsia" w:ascii="宋体" w:hAnsi="宋体" w:eastAsia="宋体"/>
          <w:caps w:val="0"/>
          <w:color w:val="auto"/>
          <w:sz w:val="21"/>
          <w:szCs w:val="21"/>
          <w:highlight w:val="none"/>
        </w:rPr>
        <w:t xml:space="preserve">第四章 项目需求</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_Toc86268902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w:t>
      </w:r>
      <w:r>
        <w:rPr>
          <w:rFonts w:hint="eastAsia" w:ascii="宋体" w:hAnsi="宋体" w:eastAsia="宋体"/>
          <w:caps w:val="0"/>
          <w:color w:val="auto"/>
          <w:sz w:val="21"/>
          <w:szCs w:val="21"/>
          <w:highlight w:val="none"/>
          <w:lang w:val="en-US" w:eastAsia="zh-CN"/>
        </w:rPr>
        <w:t xml:space="preserve">8</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1192"/>
        <w:pageBreakBefore w:val="0"/>
        <w:spacing w:line="360" w:lineRule="auto"/>
        <w:rPr>
          <w:rFonts w:hint="default" w:ascii="宋体" w:hAnsi="宋体" w:eastAsia="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第五章 评审方法和评审标准</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lang w:val="en-US" w:eastAsia="zh-CN"/>
        </w:rPr>
        <w:t xml:space="preserve">34</w:t>
      </w:r>
      <w:r/>
    </w:p>
    <w:p>
      <w:pPr>
        <w:pStyle w:val="1192"/>
        <w:pageBreakBefore w:val="0"/>
        <w:spacing w:line="360" w:lineRule="auto"/>
        <w:rPr>
          <w:rStyle w:val="1200"/>
          <w:rFonts w:hint="eastAsia" w:ascii="宋体" w:hAnsi="宋体" w:eastAsia="宋体"/>
          <w:color w:val="auto"/>
          <w:highlight w:val="none"/>
          <w:lang w:eastAsia="zh-CN"/>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第六章 响应文件的组成和格式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lang w:val="en-US" w:eastAsia="zh-CN"/>
        </w:rPr>
        <w:t xml:space="preserve">9</w:t>
      </w:r>
      <w:r/>
    </w:p>
    <w:p>
      <w:pPr>
        <w:pStyle w:val="1192"/>
        <w:pageBreakBefore w:val="0"/>
        <w:spacing w:line="360" w:lineRule="auto"/>
        <w:rPr>
          <w:rStyle w:val="1200"/>
          <w:rFonts w:hint="eastAsia" w:ascii="宋体" w:hAnsi="宋体"/>
          <w:color w:val="auto"/>
          <w:highlight w:val="none"/>
        </w:rPr>
      </w:pPr>
      <w:r>
        <w:rPr>
          <w:rStyle w:val="1200"/>
          <w:rFonts w:ascii="宋体" w:hAnsi="宋体"/>
          <w:color w:val="auto"/>
          <w:highlight w:val="none"/>
        </w:rPr>
        <w:fldChar w:fldCharType="end"/>
      </w:r>
      <w:r/>
    </w:p>
    <w:p>
      <w:pPr>
        <w:pStyle w:val="1192"/>
        <w:pageBreakBefore w:val="0"/>
        <w:spacing w:line="360" w:lineRule="auto"/>
        <w:rPr>
          <w:rStyle w:val="1200"/>
          <w:rFonts w:hint="eastAsia" w:ascii="宋体" w:hAnsi="宋体"/>
          <w:color w:val="auto"/>
          <w:highlight w:val="none"/>
        </w:rPr>
      </w:pPr>
      <w:r>
        <w:rPr>
          <w:rFonts w:hint="eastAsia" w:ascii="宋体" w:hAnsi="宋体"/>
          <w:color w:val="auto"/>
          <w:highlight w:val="none"/>
        </w:rPr>
      </w:r>
      <w:r/>
    </w:p>
    <w:p>
      <w:pPr>
        <w:pStyle w:val="1192"/>
        <w:pageBreakBefore w:val="0"/>
        <w:spacing w:line="360" w:lineRule="auto"/>
        <w:rPr>
          <w:rStyle w:val="1200"/>
          <w:rFonts w:hint="eastAsia" w:ascii="宋体" w:hAnsi="宋体"/>
          <w:color w:val="auto"/>
          <w:highlight w:val="none"/>
        </w:rPr>
      </w:pPr>
      <w:r>
        <w:rPr>
          <w:rFonts w:hint="eastAsia" w:ascii="宋体" w:hAnsi="宋体"/>
          <w:color w:val="auto"/>
          <w:highlight w:val="none"/>
        </w:rPr>
      </w:r>
      <w:r/>
    </w:p>
    <w:p>
      <w:pPr>
        <w:pStyle w:val="1201"/>
        <w:ind w:firstLine="360"/>
        <w:jc w:val="center"/>
        <w:pageBreakBefore w:val="0"/>
        <w:spacing w:line="360" w:lineRule="auto"/>
        <w:rPr>
          <w:rStyle w:val="1200"/>
          <w:rFonts w:hint="eastAsia" w:ascii="宋体" w:hAnsi="宋体"/>
          <w:caps/>
          <w:color w:val="auto"/>
          <w:sz w:val="18"/>
          <w:szCs w:val="28"/>
          <w:highlight w:val="none"/>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highlight w:val="none"/>
        </w:rPr>
      </w:r>
      <w:r/>
    </w:p>
    <w:p>
      <w:pPr>
        <w:pStyle w:val="1180"/>
        <w:ind w:firstLine="422"/>
        <w:jc w:val="center"/>
        <w:pageBreakBefore w:val="0"/>
        <w:spacing w:line="360" w:lineRule="auto"/>
        <w:rPr>
          <w:rFonts w:hint="eastAsia" w:ascii="宋体" w:hAnsi="宋体" w:eastAsia="宋体"/>
          <w:b/>
          <w:color w:val="auto"/>
          <w:sz w:val="21"/>
          <w:szCs w:val="21"/>
          <w:highlight w:val="none"/>
        </w:rPr>
      </w:pPr>
      <w:r/>
      <w:bookmarkStart w:id="0" w:name="_Toc86268900"/>
      <w:r>
        <w:rPr>
          <w:rFonts w:hint="eastAsia" w:ascii="宋体" w:hAnsi="宋体" w:eastAsia="宋体"/>
          <w:b/>
          <w:color w:val="auto"/>
          <w:sz w:val="21"/>
          <w:szCs w:val="21"/>
          <w:highlight w:val="none"/>
        </w:rPr>
        <w:t xml:space="preserve">第一章 竞争性磋商采购公告</w:t>
      </w:r>
      <w:bookmarkEnd w:id="0"/>
      <w:r/>
      <w:r/>
    </w:p>
    <w:p>
      <w:pPr>
        <w:jc w:val="left"/>
        <w:pageBreakBefore w:val="0"/>
        <w:spacing w:line="360" w:lineRule="auto"/>
        <w:widowControl/>
        <w:rPr>
          <w:rFonts w:hint="eastAsia" w:ascii="宋体" w:hAnsi="宋体" w:cs="仿宋_GB2312"/>
          <w:color w:val="auto"/>
          <w:szCs w:val="21"/>
          <w:highlight w:val="none"/>
        </w:rPr>
      </w:pPr>
      <w:r/>
      <w:bookmarkStart w:id="1" w:name="_Toc35393629"/>
      <w:r/>
      <w:bookmarkStart w:id="2" w:name="_Toc28359089"/>
      <w:r/>
      <w:bookmarkStart w:id="3" w:name="_Toc28359012"/>
      <w:r/>
      <w:bookmarkStart w:id="4" w:name="_Toc35393798"/>
      <w:r/>
      <w:bookmarkStart w:id="5" w:name="_Toc513029209"/>
      <w:r/>
      <w:bookmarkStart w:id="6" w:name="_Toc61149549"/>
      <w:r/>
      <w:bookmarkStart w:id="7" w:name="_Toc14577347"/>
      <w:r>
        <w:rPr>
          <w:rFonts w:hint="eastAsia" w:ascii="宋体" w:hAnsi="宋体" w:cs="仿宋_GB2312"/>
          <w:b/>
          <w:bCs/>
          <w:color w:val="auto"/>
          <w:szCs w:val="21"/>
          <w:highlight w:val="none"/>
        </w:rPr>
        <w:t xml:space="preserve">项目概况</w:t>
      </w:r>
      <w:r/>
    </w:p>
    <w:p>
      <w:pPr>
        <w:ind w:firstLine="420"/>
        <w:pageBreakBefore w:val="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u w:val="single"/>
          <w:lang w:eastAsia="zh-CN"/>
        </w:rPr>
        <w:t xml:space="preserve">泰州生物医药产业园专职消防救援站消防通信器材</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rPr>
        <w:t xml:space="preserve">获取采购文件，</w:t>
      </w:r>
      <w:r>
        <w:rPr>
          <w:rFonts w:hint="eastAsia" w:ascii="宋体" w:hAnsi="宋体" w:cs="仿宋_GB2312"/>
          <w:color w:val="auto"/>
          <w:szCs w:val="21"/>
          <w:highlight w:val="none"/>
          <w:u w:val="none"/>
        </w:rPr>
        <w:t xml:space="preserve">并于202</w:t>
      </w:r>
      <w:r>
        <w:rPr>
          <w:rFonts w:hint="eastAsia" w:ascii="宋体" w:hAnsi="宋体" w:cs="仿宋_GB2312"/>
          <w:color w:val="auto"/>
          <w:szCs w:val="21"/>
          <w:highlight w:val="none"/>
          <w:u w:val="none"/>
          <w:lang w:val="en-US" w:eastAsia="zh-CN"/>
        </w:rPr>
        <w:t xml:space="preserve">6</w:t>
      </w:r>
      <w:r>
        <w:rPr>
          <w:rFonts w:hint="eastAsia" w:ascii="宋体" w:hAnsi="宋体" w:cs="仿宋_GB2312"/>
          <w:color w:val="auto"/>
          <w:szCs w:val="21"/>
          <w:highlight w:val="none"/>
          <w:u w:val="none"/>
        </w:rPr>
        <w:t xml:space="preserve">年</w:t>
      </w:r>
      <w:r>
        <w:rPr>
          <w:rFonts w:hint="eastAsia" w:ascii="宋体" w:hAnsi="宋体" w:cs="仿宋_GB2312"/>
          <w:color w:val="auto"/>
          <w:szCs w:val="21"/>
          <w:highlight w:val="none"/>
          <w:u w:val="none"/>
          <w:lang w:val="en-US" w:eastAsia="zh-CN"/>
        </w:rPr>
        <w:t xml:space="preserve">1</w:t>
      </w:r>
      <w:r>
        <w:rPr>
          <w:rFonts w:hint="eastAsia" w:ascii="宋体" w:hAnsi="宋体" w:cs="仿宋_GB2312"/>
          <w:color w:val="auto"/>
          <w:szCs w:val="21"/>
          <w:highlight w:val="none"/>
          <w:u w:val="none"/>
        </w:rPr>
        <w:t xml:space="preserve">月</w:t>
      </w:r>
      <w:r>
        <w:rPr>
          <w:rFonts w:hint="eastAsia" w:ascii="宋体" w:hAnsi="宋体" w:cs="仿宋_GB2312"/>
          <w:color w:val="auto"/>
          <w:szCs w:val="21"/>
          <w:highlight w:val="none"/>
          <w:u w:val="none"/>
          <w:lang w:val="en-US" w:eastAsia="zh-CN"/>
        </w:rPr>
        <w:t xml:space="preserve">19</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0</w:t>
      </w:r>
      <w:r>
        <w:rPr>
          <w:rFonts w:hint="eastAsia" w:ascii="宋体" w:hAnsi="宋体" w:cs="仿宋_GB2312"/>
          <w:color w:val="auto"/>
          <w:szCs w:val="21"/>
          <w:highlight w:val="none"/>
        </w:rPr>
        <w:t xml:space="preserve">0分（北京时间）前提交响应文件。</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bookmarkEnd w:id="1"/>
      <w:r/>
      <w:bookmarkEnd w:id="2"/>
      <w:r/>
      <w:bookmarkEnd w:id="3"/>
      <w:r/>
      <w:bookmarkEnd w:id="4"/>
      <w:r/>
      <w:r/>
    </w:p>
    <w:p>
      <w:pPr>
        <w:ind w:firstLine="422"/>
        <w:pageBreakBefore w:val="0"/>
        <w:spacing w:line="360" w:lineRule="auto"/>
        <w:rPr>
          <w:rFonts w:hint="eastAsia" w:ascii="宋体" w:hAnsi="宋体" w:eastAsia="宋体" w:cs="宋体"/>
          <w:color w:val="auto"/>
          <w:szCs w:val="21"/>
          <w:highlight w:val="none"/>
          <w:lang w:eastAsia="zh-CN"/>
        </w:rPr>
      </w:pPr>
      <w:r/>
      <w:bookmarkStart w:id="8" w:name="_Toc28359090"/>
      <w:r/>
      <w:bookmarkStart w:id="9" w:name="_Toc35393630"/>
      <w:r/>
      <w:bookmarkStart w:id="10" w:name="_Toc35393799"/>
      <w:r/>
      <w:bookmarkStart w:id="11" w:name="_Toc28359013"/>
      <w:r>
        <w:rPr>
          <w:rFonts w:hint="eastAsia" w:ascii="宋体" w:hAnsi="宋体" w:cs="宋体"/>
          <w:b/>
          <w:bCs/>
          <w:color w:val="auto"/>
          <w:szCs w:val="21"/>
          <w:highlight w:val="none"/>
        </w:rPr>
        <w:t xml:space="preserve">项目编号：</w:t>
      </w:r>
      <w:r>
        <w:rPr>
          <w:rFonts w:hint="eastAsia" w:ascii="宋体" w:hAnsi="宋体" w:cs="宋体"/>
          <w:color w:val="auto"/>
          <w:szCs w:val="21"/>
          <w:highlight w:val="none"/>
          <w:lang w:eastAsia="zh-CN"/>
        </w:rPr>
        <w:t xml:space="preserve">JSZC-321203-HQGC-C2026-0001</w:t>
      </w:r>
      <w:r/>
    </w:p>
    <w:p>
      <w:pPr>
        <w:ind w:firstLine="422"/>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项目名称：</w:t>
      </w:r>
      <w:r>
        <w:rPr>
          <w:rFonts w:hint="eastAsia" w:ascii="宋体" w:hAnsi="宋体" w:cs="宋体"/>
          <w:color w:val="auto"/>
          <w:szCs w:val="21"/>
          <w:highlight w:val="none"/>
          <w:lang w:eastAsia="zh-CN"/>
        </w:rPr>
        <w:t xml:space="preserve">泰州生物医药产业园专职消防救援站消防通信器材</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预算金额：</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lang w:eastAsia="zh-CN"/>
        </w:rPr>
        <w:t xml:space="preserve">万元</w:t>
      </w:r>
      <w:r>
        <w:rPr>
          <w:rFonts w:hint="eastAsia" w:ascii="宋体" w:hAnsi="宋体" w:cs="宋体"/>
          <w:color w:val="auto"/>
          <w:szCs w:val="21"/>
          <w:highlight w:val="none"/>
        </w:rPr>
        <w:t xml:space="preserve">人民币</w:t>
      </w:r>
      <w:r/>
    </w:p>
    <w:p>
      <w:pPr>
        <w:ind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最高限价</w:t>
      </w:r>
      <w:r>
        <w:rPr>
          <w:rFonts w:hint="eastAsia" w:ascii="宋体" w:hAnsi="宋体" w:cs="宋体"/>
          <w:b/>
          <w:bCs/>
          <w:color w:val="auto"/>
          <w:highlight w:val="none"/>
          <w:lang w:eastAsia="zh-CN"/>
        </w:rPr>
        <w:t xml:space="preserve">：</w:t>
      </w:r>
      <w:r>
        <w:rPr>
          <w:rFonts w:hint="eastAsia" w:ascii="宋体" w:hAnsi="宋体" w:cs="宋体"/>
          <w:color w:val="auto"/>
          <w:highlight w:val="none"/>
          <w:lang w:val="en-US" w:eastAsia="zh-CN"/>
        </w:rPr>
        <w:t xml:space="preserve">12万元</w:t>
      </w:r>
      <w:r>
        <w:rPr>
          <w:rFonts w:hint="eastAsia" w:ascii="宋体" w:hAnsi="宋体" w:eastAsia="宋体" w:cs="宋体"/>
          <w:color w:val="auto"/>
          <w:highlight w:val="none"/>
        </w:rPr>
        <w:t xml:space="preserve">（超过限价报价的，作为无效响应处理）</w:t>
      </w:r>
      <w:r/>
    </w:p>
    <w:p>
      <w:pPr>
        <w:ind w:firstLine="422"/>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采购需求：</w:t>
      </w:r>
      <w:r>
        <w:rPr>
          <w:rFonts w:hint="eastAsia" w:ascii="宋体" w:hAnsi="宋体" w:cs="宋体"/>
          <w:color w:val="auto"/>
          <w:highlight w:val="none"/>
          <w:lang w:val="en-US" w:eastAsia="zh-CN"/>
        </w:rPr>
        <w:t xml:space="preserve">本项目拟采购生物医药产业园专职消防救援站消防通信器材1批</w:t>
      </w:r>
      <w:r>
        <w:rPr>
          <w:rFonts w:hint="eastAsia" w:ascii="宋体" w:hAnsi="宋体" w:eastAsia="宋体" w:cs="宋体"/>
          <w:color w:val="auto"/>
          <w:highlight w:val="none"/>
          <w:lang w:eastAsia="zh-CN"/>
        </w:rPr>
        <w:t xml:space="preserve">（具体内容见磋商文件第四章 项目需求）。</w:t>
      </w:r>
      <w:r/>
    </w:p>
    <w:p>
      <w:pPr>
        <w:ind w:firstLine="422"/>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b/>
          <w:bCs/>
          <w:color w:val="auto"/>
          <w:highlight w:val="none"/>
        </w:rPr>
        <w:t xml:space="preserve">合同履行期限：</w:t>
      </w:r>
      <w:r>
        <w:rPr>
          <w:rFonts w:hint="eastAsia" w:ascii="宋体" w:hAnsi="宋体" w:cs="宋体"/>
          <w:color w:val="auto"/>
          <w:highlight w:val="none"/>
          <w:lang w:eastAsia="zh-CN"/>
        </w:rPr>
        <w:t xml:space="preserve">合同签订后</w:t>
      </w:r>
      <w:r>
        <w:rPr>
          <w:rFonts w:hint="eastAsia" w:ascii="宋体" w:hAnsi="宋体" w:cs="宋体"/>
          <w:color w:val="auto"/>
          <w:highlight w:val="none"/>
          <w:lang w:val="en-US" w:eastAsia="zh-CN"/>
        </w:rPr>
        <w:t xml:space="preserve">60</w:t>
      </w:r>
      <w:r>
        <w:rPr>
          <w:rFonts w:hint="eastAsia" w:ascii="宋体" w:hAnsi="宋体" w:cs="宋体"/>
          <w:color w:val="auto"/>
          <w:highlight w:val="none"/>
          <w:lang w:eastAsia="zh-CN"/>
        </w:rPr>
        <w:t xml:space="preserve">日内交货。质保期不低于</w:t>
      </w:r>
      <w:r>
        <w:rPr>
          <w:rFonts w:hint="eastAsia" w:ascii="宋体" w:hAnsi="宋体" w:cs="宋体"/>
          <w:color w:val="auto"/>
          <w:highlight w:val="none"/>
          <w:lang w:val="en-US" w:eastAsia="zh-CN"/>
        </w:rPr>
        <w:t xml:space="preserve">3年。</w:t>
      </w:r>
      <w:r/>
    </w:p>
    <w:p>
      <w:pPr>
        <w:ind w:firstLine="42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本项目是否接受联合体投标：</w:t>
      </w:r>
      <w:r>
        <w:rPr>
          <w:rFonts w:hint="eastAsia" w:ascii="宋体" w:hAnsi="宋体" w:cs="宋体"/>
          <w:b/>
          <w:bCs/>
          <w:color w:val="auto"/>
          <w:szCs w:val="21"/>
          <w:highlight w:val="none"/>
          <w:lang w:val="en-US" w:eastAsia="zh-CN"/>
        </w:rPr>
        <w:t xml:space="preserve">否</w:t>
      </w:r>
      <w:r>
        <w:rPr>
          <w:rFonts w:hint="eastAsia" w:ascii="宋体" w:hAnsi="宋体" w:cs="宋体"/>
          <w:b/>
          <w:bCs/>
          <w:color w:val="auto"/>
          <w:szCs w:val="21"/>
          <w:highlight w:val="none"/>
        </w:rPr>
        <w:t xml:space="preserve">。</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8"/>
      <w:r/>
      <w:bookmarkEnd w:id="9"/>
      <w:r/>
      <w:bookmarkEnd w:id="10"/>
      <w:r/>
      <w:bookmarkEnd w:id="11"/>
      <w:r/>
      <w:r/>
    </w:p>
    <w:p>
      <w:pPr>
        <w:ind w:firstLine="420"/>
        <w:pageBreakBefore w:val="0"/>
        <w:spacing w:line="360" w:lineRule="auto"/>
        <w:rPr>
          <w:rFonts w:hint="eastAsia" w:ascii="宋体" w:hAnsi="宋体" w:cs="宋体"/>
          <w:color w:val="auto"/>
          <w:highlight w:val="none"/>
        </w:rPr>
      </w:pPr>
      <w:r/>
      <w:bookmarkStart w:id="12" w:name="_Toc28359014"/>
      <w:r/>
      <w:bookmarkStart w:id="13" w:name="_Toc28359091"/>
      <w:r/>
      <w:bookmarkStart w:id="14" w:name="_Toc35393800"/>
      <w:r/>
      <w:bookmarkStart w:id="15" w:name="_Toc35393631"/>
      <w:r>
        <w:rPr>
          <w:rFonts w:hint="eastAsia" w:ascii="宋体" w:hAnsi="宋体" w:cs="宋体"/>
          <w:color w:val="auto"/>
          <w:highlight w:val="none"/>
        </w:rPr>
        <w:t xml:space="preserve">1.满足《中华人民共和国政府采购法》第二十二条的规定：</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w:t>
      </w:r>
      <w:r>
        <w:rPr>
          <w:rFonts w:ascii="宋体" w:hAnsi="宋体" w:cs="宋体"/>
          <w:color w:val="auto"/>
          <w:highlight w:val="none"/>
        </w:rPr>
        <w:t xml:space="preserve">具有独立承担民事责任的能力；</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w:t>
      </w:r>
      <w:r>
        <w:rPr>
          <w:rFonts w:ascii="宋体" w:hAnsi="宋体" w:cs="宋体"/>
          <w:color w:val="auto"/>
          <w:highlight w:val="none"/>
        </w:rPr>
        <w:t xml:space="preserve">具有良好的商业信誉和健全的财务会计制度；</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1.3具</w:t>
      </w:r>
      <w:r>
        <w:rPr>
          <w:rFonts w:ascii="宋体" w:hAnsi="宋体" w:cs="宋体"/>
          <w:color w:val="auto"/>
          <w:highlight w:val="none"/>
        </w:rPr>
        <w:t xml:space="preserve">有依法缴纳税收和社会保障资金的良好记录；</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w:t>
      </w:r>
      <w:r>
        <w:rPr>
          <w:rFonts w:ascii="宋体" w:hAnsi="宋体" w:cs="宋体"/>
          <w:color w:val="auto"/>
          <w:highlight w:val="none"/>
        </w:rPr>
        <w:t xml:space="preserve">具</w:t>
      </w:r>
      <w:r>
        <w:rPr>
          <w:rFonts w:hint="eastAsia" w:ascii="宋体" w:hAnsi="宋体" w:cs="宋体"/>
          <w:color w:val="auto"/>
          <w:highlight w:val="none"/>
        </w:rPr>
        <w:t xml:space="preserve">备</w:t>
      </w:r>
      <w:r>
        <w:rPr>
          <w:rFonts w:ascii="宋体" w:hAnsi="宋体" w:cs="宋体"/>
          <w:color w:val="auto"/>
          <w:highlight w:val="none"/>
        </w:rPr>
        <w:t xml:space="preserve">履行合同</w:t>
      </w:r>
      <w:r>
        <w:rPr>
          <w:rFonts w:hint="eastAsia" w:ascii="宋体" w:hAnsi="宋体" w:cs="宋体"/>
          <w:color w:val="auto"/>
          <w:highlight w:val="none"/>
        </w:rPr>
        <w:t xml:space="preserve">所必需的</w:t>
      </w:r>
      <w:r>
        <w:rPr>
          <w:rFonts w:ascii="宋体" w:hAnsi="宋体" w:cs="宋体"/>
          <w:color w:val="auto"/>
          <w:highlight w:val="none"/>
        </w:rPr>
        <w:t xml:space="preserve">设备和专业技术能力；</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1.5</w:t>
      </w:r>
      <w:r>
        <w:rPr>
          <w:rFonts w:ascii="宋体" w:hAnsi="宋体" w:cs="宋体"/>
          <w:color w:val="auto"/>
          <w:highlight w:val="none"/>
        </w:rPr>
        <w:t xml:space="preserve">参加政府采购活动前三年内，在经营活动中没有重大违法记录；</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w:t>
      </w:r>
      <w:r>
        <w:rPr>
          <w:rFonts w:ascii="宋体" w:hAnsi="宋体" w:cs="宋体"/>
          <w:color w:val="auto"/>
          <w:highlight w:val="none"/>
        </w:rPr>
        <w:t xml:space="preserve">法律、行政法规规定的其他条件。</w:t>
      </w:r>
      <w:r/>
    </w:p>
    <w:p>
      <w:pPr>
        <w:ind w:firstLine="420"/>
        <w:pageBreakBefore w:val="0"/>
        <w:spacing w:line="360" w:lineRule="auto"/>
        <w:rPr>
          <w:rFonts w:ascii="宋体" w:hAnsi="宋体" w:cs="宋体"/>
          <w:b/>
          <w:bCs/>
          <w:szCs w:val="21"/>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落实政府采购政策需满足的资格要求：</w:t>
      </w:r>
      <w:r>
        <w:rPr>
          <w:rFonts w:hint="eastAsia" w:ascii="宋体" w:hAnsi="宋体" w:cs="宋体"/>
          <w:b/>
          <w:bCs/>
          <w:szCs w:val="21"/>
          <w:highlight w:val="none"/>
        </w:rPr>
        <w:t xml:space="preserve">本项目属于制造业，不专门面向中小微企业、监狱企业、残疾人福利性单位</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供应商应</w:t>
      </w:r>
      <w:r>
        <w:rPr>
          <w:rFonts w:hint="eastAsia" w:ascii="宋体" w:hAnsi="宋体" w:cs="宋体"/>
          <w:b/>
          <w:bCs/>
          <w:szCs w:val="21"/>
          <w:highlight w:val="none"/>
          <w:lang w:eastAsia="zh-CN"/>
        </w:rPr>
        <w:t xml:space="preserve">在响应文件</w:t>
      </w:r>
      <w:r>
        <w:rPr>
          <w:rFonts w:hint="eastAsia" w:ascii="宋体" w:hAnsi="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投标人，对小型和微型企业产品的价格给予10%的扣除</w:t>
      </w:r>
      <w:r>
        <w:rPr>
          <w:rFonts w:hint="eastAsia" w:ascii="宋体" w:hAnsi="宋体" w:cs="宋体"/>
          <w:b/>
          <w:bCs/>
          <w:szCs w:val="21"/>
          <w:highlight w:val="none"/>
          <w:lang w:eastAsia="zh-CN"/>
        </w:rPr>
        <w:t xml:space="preserve">；根据《国务院办公厅关于在政府采购中</w:t>
      </w:r>
      <w:r>
        <w:rPr>
          <w:rFonts w:hint="eastAsia" w:ascii="宋体" w:hAnsi="宋体" w:cs="宋体"/>
          <w:b/>
          <w:bCs/>
          <w:szCs w:val="21"/>
          <w:highlight w:val="none"/>
          <w:lang w:val="en-US" w:eastAsia="zh-CN"/>
        </w:rPr>
        <w:t xml:space="preserve">实</w:t>
      </w:r>
      <w:r>
        <w:rPr>
          <w:rFonts w:hint="eastAsia" w:ascii="宋体" w:hAnsi="宋体" w:cs="宋体"/>
          <w:b/>
          <w:bCs/>
          <w:szCs w:val="21"/>
          <w:highlight w:val="none"/>
          <w:lang w:eastAsia="zh-CN"/>
        </w:rPr>
        <w:t xml:space="preserve">施本国产品标准及相关政策的通知》（国办发〔2025〕34号）和《关于贯彻落实《国务院办公厅关于在政府采购中实施本国产品标准及相关政策的通知》的意见》（财库〔2025〕30号），</w:t>
      </w:r>
      <w:r>
        <w:rPr>
          <w:rFonts w:hint="eastAsia" w:ascii="宋体" w:hAnsi="宋体" w:cs="宋体"/>
          <w:b/>
          <w:bCs/>
          <w:szCs w:val="21"/>
          <w:highlight w:val="none"/>
          <w:lang w:val="en-US" w:eastAsia="zh-CN"/>
        </w:rPr>
        <w:t xml:space="preserve">对</w:t>
      </w:r>
      <w:r>
        <w:rPr>
          <w:rFonts w:hint="eastAsia" w:ascii="宋体" w:hAnsi="宋体" w:cs="宋体"/>
          <w:b/>
          <w:bCs/>
          <w:szCs w:val="21"/>
          <w:highlight w:val="none"/>
          <w:lang w:eastAsia="zh-CN"/>
        </w:rPr>
        <w:t xml:space="preserve">提供《关于符合本国产品标准的声明</w:t>
      </w:r>
      <w:r>
        <w:rPr>
          <w:rFonts w:hint="eastAsia" w:ascii="宋体" w:hAnsi="宋体" w:cs="宋体"/>
          <w:b/>
          <w:bCs/>
          <w:szCs w:val="21"/>
          <w:highlight w:val="none"/>
          <w:lang w:val="en-US" w:eastAsia="zh-CN"/>
        </w:rPr>
        <w:t xml:space="preserve">函</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的企业产品给予20%价格扣除</w:t>
      </w:r>
      <w:r>
        <w:rPr>
          <w:rFonts w:hint="eastAsia" w:ascii="宋体" w:hAnsi="宋体" w:cs="宋体"/>
          <w:b/>
          <w:bCs/>
          <w:szCs w:val="21"/>
          <w:highlight w:val="none"/>
          <w:lang w:eastAsia="zh-CN"/>
        </w:rPr>
        <w:t xml:space="preserve">。</w:t>
      </w:r>
      <w:r/>
    </w:p>
    <w:p>
      <w:pPr>
        <w:ind w:firstLine="420"/>
        <w:pageBreakBefore w:val="0"/>
        <w:spacing w:line="360" w:lineRule="auto"/>
        <w:rPr>
          <w:rFonts w:hint="default" w:ascii="宋体" w:hAnsi="宋体" w:eastAsia="宋体" w:cs="宋体"/>
          <w:b/>
          <w:bCs/>
          <w:sz w:val="21"/>
          <w:szCs w:val="21"/>
          <w:highlight w:val="none"/>
          <w:lang w:val="en-US" w:eastAsia="zh-CN" w:bidi="ar-SA"/>
        </w:rPr>
      </w:pPr>
      <w:r>
        <w:rPr>
          <w:rFonts w:hint="eastAsia" w:cs="宋体" w:asciiTheme="majorEastAsia" w:hAnsiTheme="majorEastAsia" w:eastAsiaTheme="majorEastAsia"/>
          <w:bCs/>
          <w:color w:val="auto"/>
          <w:szCs w:val="21"/>
          <w:highlight w:val="none"/>
        </w:rPr>
        <w:t xml:space="preserve">3.本项目的特定资格要求：</w:t>
      </w:r>
      <w:r>
        <w:rPr>
          <w:rFonts w:hint="eastAsia" w:ascii="宋体" w:hAnsi="宋体" w:cs="宋体"/>
          <w:b/>
          <w:szCs w:val="21"/>
          <w:highlight w:val="none"/>
        </w:rPr>
        <w:t xml:space="preserve">本项目不</w:t>
      </w:r>
      <w:r>
        <w:rPr>
          <w:rFonts w:hint="eastAsia" w:ascii="宋体" w:hAnsi="宋体" w:cs="宋体"/>
          <w:b/>
          <w:szCs w:val="21"/>
          <w:highlight w:val="none"/>
          <w:lang w:eastAsia="zh-CN"/>
        </w:rPr>
        <w:t xml:space="preserve">接受</w:t>
      </w:r>
      <w:r>
        <w:rPr>
          <w:rFonts w:hint="eastAsia" w:ascii="宋体" w:hAnsi="宋体" w:cs="宋体"/>
          <w:b/>
          <w:szCs w:val="21"/>
          <w:highlight w:val="none"/>
        </w:rPr>
        <w:t xml:space="preserve">进口产品投标</w:t>
      </w:r>
      <w:r>
        <w:rPr>
          <w:rFonts w:hint="eastAsia" w:ascii="宋体" w:hAnsi="宋体" w:cs="宋体"/>
          <w:b/>
          <w:szCs w:val="21"/>
          <w:highlight w:val="none"/>
          <w:lang w:eastAsia="zh-CN"/>
        </w:rPr>
        <w:t xml:space="preserve">（</w:t>
      </w:r>
      <w:r>
        <w:rPr>
          <w:rFonts w:hint="eastAsia" w:ascii="宋体" w:hAnsi="宋体" w:cs="宋体"/>
          <w:b/>
          <w:bCs/>
          <w:sz w:val="21"/>
          <w:szCs w:val="21"/>
          <w:highlight w:val="none"/>
          <w:lang w:val="en-US" w:eastAsia="zh-CN" w:bidi="ar-SA"/>
        </w:rPr>
        <w:t xml:space="preserve">响应文件中应提供相关承诺函）。</w:t>
      </w:r>
      <w:r/>
    </w:p>
    <w:p>
      <w:pPr>
        <w:ind w:left="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4.拒绝下述供应商参加本次采购活动：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4.1供应商单位负责人为同一人或者存在直接控股、管理关系的不同供应商，不得参加同一合同项下的政府采购活动。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4.2凡为本采购项目提供整体设计、规范编制或者项目管理、监理、检测等服务的供应商，不得再参加本采购项目的其他采购活动；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4.3供应商被“信用中国”网站（www.creditchina.gov.cn）、“中国政府采购网”（www.ccgp.gov.cn）列入严重失信主体名单、政府采购严重违法失信行为记录名单。</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2"/>
      <w:r/>
      <w:bookmarkEnd w:id="13"/>
      <w:r/>
      <w:bookmarkEnd w:id="14"/>
      <w:r/>
      <w:bookmarkEnd w:id="15"/>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bookmarkStart w:id="16" w:name="_Toc35393801"/>
      <w:r/>
      <w:bookmarkStart w:id="17" w:name="_Toc35393632"/>
      <w:r/>
      <w:bookmarkStart w:id="18" w:name="_Toc28359092"/>
      <w:r/>
      <w:bookmarkStart w:id="19" w:name="_Toc28359015"/>
      <w:r>
        <w:rPr>
          <w:rFonts w:hint="eastAsia" w:cs="宋体" w:asciiTheme="majorEastAsia" w:hAnsiTheme="majorEastAsia" w:eastAsiaTheme="majorEastAsia"/>
          <w:bCs/>
          <w:color w:val="auto"/>
          <w:szCs w:val="21"/>
          <w:highlight w:val="none"/>
        </w:rPr>
        <w:t xml:space="preserve">1.获取时间：自公告发布之日起5个工作日。</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2.地点：网上注册登记成功后可在系统内免费下载。</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3.获取方式：本项目采用网上注册登记方式。</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3.1潜在供应商访问电子招标响应交易平台的网络地址和方法：</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“苏采云”系统用户注册－－获取“CA数字证书”--CA绑定与登录--网上报名</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下载采购文件（后缀名为“.kedt”）--将后缀名为“.kedt”的采购文件导入政府采购客户端工具</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制作响应文件</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导出加密的响应文件（后缀名为zip）--通过“苏采云”系统上传响应文件。具体见《江苏省政府采购管理交易系统（苏采云）供应商操作手册》。</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lang w:eastAsia="en-US"/>
        </w:rPr>
      </w:pPr>
      <w:r>
        <w:rPr>
          <w:rFonts w:hint="eastAsia" w:cs="宋体" w:asciiTheme="majorEastAsia" w:hAnsiTheme="majorEastAsia" w:eastAsiaTheme="majorEastAsia"/>
          <w:bCs/>
          <w:color w:val="auto"/>
          <w:szCs w:val="21"/>
          <w:highlight w:val="none"/>
          <w:lang w:eastAsia="en-US"/>
        </w:rPr>
        <w:t xml:space="preserve">3.2潜在供应商访问“苏采云”系统的网络地址和方法：“苏采云”系统的网址：http://jszfcg.jsczt.cn/。</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3.3“CA数字证书”的获取：</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lang w:eastAsia="en-US"/>
        </w:rPr>
      </w:pPr>
      <w:r>
        <w:rPr>
          <w:rFonts w:hint="eastAsia" w:cs="宋体" w:asciiTheme="majorEastAsia" w:hAnsiTheme="majorEastAsia" w:eastAsiaTheme="majorEastAsia"/>
          <w:bCs/>
          <w:color w:val="auto"/>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3.4采购文件（后缀名为“.kedt”）、供应商操作手册及政府采购客户端工具可通过“苏采云”系统</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已报名项目</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报名详情页面内相应链接进行下载。</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3.5采购人或采购代理机构将数据电文形式的采购文件加载至“苏采云”系统，供潜在供应商下载或者查阅。</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3.6请潜在供应商提前安装相应的控件（详见《江苏省政府采购管理交易系统（苏采云）供应商操作手册》）并使用谷歌浏览器登录“苏采云”系统参与不见面开评标。</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3.7开评标</w:t>
      </w:r>
      <w:r>
        <w:rPr>
          <w:rFonts w:hint="eastAsia" w:cs="宋体" w:asciiTheme="majorEastAsia" w:hAnsiTheme="majorEastAsia" w:eastAsiaTheme="majorEastAsia"/>
          <w:bCs/>
          <w:color w:val="auto"/>
          <w:szCs w:val="21"/>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
          <w:color w:val="auto"/>
          <w:szCs w:val="21"/>
          <w:highlight w:val="none"/>
        </w:rPr>
        <w:t xml:space="preserve">注：如潜在供应商未按上述要求操作，将自行承担所产生的风险。</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6"/>
      <w:r/>
      <w:bookmarkEnd w:id="17"/>
      <w:r/>
      <w:bookmarkEnd w:id="18"/>
      <w:r/>
      <w:bookmarkEnd w:id="19"/>
      <w:r/>
      <w:r/>
    </w:p>
    <w:p>
      <w:pPr>
        <w:ind w:firstLine="420"/>
        <w:pageBreakBefore w:val="0"/>
        <w:spacing w:line="360" w:lineRule="auto"/>
        <w:rPr>
          <w:rFonts w:hint="eastAsia" w:ascii="宋体" w:hAnsi="宋体" w:cs="宋体"/>
          <w:color w:val="auto"/>
          <w:szCs w:val="21"/>
          <w:highlight w:val="none"/>
        </w:rPr>
      </w:pPr>
      <w:r/>
      <w:bookmarkStart w:id="20" w:name="_Toc28359016"/>
      <w:r/>
      <w:bookmarkStart w:id="21" w:name="_Toc28359093"/>
      <w:r/>
      <w:bookmarkStart w:id="22" w:name="_Toc35393802"/>
      <w:r/>
      <w:bookmarkStart w:id="23" w:name="_Toc35393633"/>
      <w:r>
        <w:rPr>
          <w:rFonts w:hint="eastAsia" w:ascii="宋体" w:hAnsi="宋体" w:cs="宋体"/>
          <w:color w:val="auto"/>
          <w:szCs w:val="21"/>
          <w:highlight w:val="none"/>
        </w:rPr>
        <w:t xml:space="preserve">1.响应文件提交截止时间：202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19</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0分（北京时间）。逾时，“苏采云”系统将拒绝接受上传响应文件电子文档。</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en-US"/>
        </w:rPr>
        <w:t xml:space="preserve">地点：“苏采云”系统（网址：http://jszfcg.jsczt.cn/）</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五、开启（</w:t>
      </w:r>
      <w:r>
        <w:rPr>
          <w:rFonts w:hint="eastAsia" w:ascii="宋体" w:hAnsi="宋体" w:cs="宋体"/>
          <w:b/>
          <w:bCs/>
          <w:i/>
          <w:color w:val="auto"/>
          <w:szCs w:val="21"/>
          <w:highlight w:val="none"/>
        </w:rPr>
        <w:t xml:space="preserve">竞争性磋商方式必须填写</w:t>
      </w:r>
      <w:r>
        <w:rPr>
          <w:rFonts w:hint="eastAsia" w:ascii="宋体" w:hAnsi="宋体" w:cs="宋体"/>
          <w:b/>
          <w:bCs/>
          <w:color w:val="auto"/>
          <w:szCs w:val="21"/>
          <w:highlight w:val="none"/>
        </w:rPr>
        <w:t xml:space="preserve">）</w:t>
      </w:r>
      <w:bookmarkEnd w:id="20"/>
      <w:r/>
      <w:bookmarkEnd w:id="21"/>
      <w:r/>
      <w:bookmarkEnd w:id="22"/>
      <w:r/>
      <w:bookmarkEnd w:id="23"/>
      <w:r/>
      <w:r/>
    </w:p>
    <w:p>
      <w:pPr>
        <w:ind w:firstLine="420"/>
        <w:pageBreakBefore w:val="0"/>
        <w:spacing w:line="360" w:lineRule="auto"/>
        <w:rPr>
          <w:rFonts w:hint="eastAsia" w:ascii="宋体" w:hAnsi="宋体" w:cs="宋体"/>
          <w:color w:val="auto"/>
          <w:szCs w:val="21"/>
          <w:highlight w:val="none"/>
        </w:rPr>
      </w:pPr>
      <w:r/>
      <w:bookmarkStart w:id="24" w:name="_Toc28359094"/>
      <w:r/>
      <w:bookmarkStart w:id="25" w:name="_Toc35393803"/>
      <w:r/>
      <w:bookmarkStart w:id="26" w:name="_Toc35393634"/>
      <w:r/>
      <w:bookmarkStart w:id="27" w:name="_Toc28359017"/>
      <w:r>
        <w:rPr>
          <w:rFonts w:hint="eastAsia" w:ascii="宋体" w:hAnsi="宋体" w:cs="宋体"/>
          <w:color w:val="auto"/>
          <w:szCs w:val="21"/>
          <w:highlight w:val="none"/>
        </w:rPr>
        <w:t xml:space="preserve">1.时间：20</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19</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0分（北京时间）。</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“苏采云”系统（网址：http://jszfcg.jsczt.cn/）“开标大厅”</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color w:val="auto"/>
          <w:szCs w:val="21"/>
          <w:highlight w:val="none"/>
        </w:rPr>
        <w:t xml:space="preserve">投标供应商解密限定在开标后30分钟之内完成</w:t>
      </w:r>
      <w:r>
        <w:rPr>
          <w:rFonts w:hint="eastAsia" w:ascii="宋体" w:hAnsi="宋体" w:cs="宋体"/>
          <w:color w:val="auto"/>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各供应商请关注开标大厅交流区，在开标结束后，请勿离开开标大厅。采购人或采购代理机构通知最后报价填报后，</w:t>
      </w:r>
      <w:r>
        <w:rPr>
          <w:rFonts w:hint="eastAsia" w:ascii="宋体" w:hAnsi="宋体" w:cs="宋体"/>
          <w:color w:val="auto"/>
          <w:szCs w:val="21"/>
          <w:highlight w:val="none"/>
          <w:lang w:eastAsia="zh-CN"/>
        </w:rPr>
        <w:t xml:space="preserve">所有</w:t>
      </w:r>
      <w:r>
        <w:rPr>
          <w:rFonts w:hint="eastAsia" w:ascii="宋体" w:hAnsi="宋体" w:cs="宋体"/>
          <w:color w:val="auto"/>
          <w:szCs w:val="21"/>
          <w:highlight w:val="none"/>
        </w:rPr>
        <w:t xml:space="preserve">响应供应商须在</w:t>
      </w:r>
      <w:r>
        <w:rPr>
          <w:rFonts w:hint="eastAsia" w:ascii="宋体" w:hAnsi="宋体" w:cs="宋体"/>
          <w:color w:val="auto"/>
          <w:szCs w:val="21"/>
          <w:highlight w:val="none"/>
          <w:lang w:eastAsia="zh-CN"/>
        </w:rPr>
        <w:t xml:space="preserve">15分钟</w:t>
      </w:r>
      <w:r>
        <w:rPr>
          <w:rFonts w:hint="eastAsia" w:ascii="宋体" w:hAnsi="宋体" w:cs="宋体"/>
          <w:color w:val="auto"/>
          <w:szCs w:val="21"/>
          <w:highlight w:val="none"/>
        </w:rPr>
        <w:t xml:space="preserve">内填写并提交最后报价，未在规定时间内提交最后报价的，视作无效响应处理。</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24"/>
      <w:r/>
      <w:bookmarkEnd w:id="25"/>
      <w:r/>
      <w:bookmarkEnd w:id="26"/>
      <w:r/>
      <w:bookmarkEnd w:id="27"/>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bookmarkStart w:id="28" w:name="_Toc35393635"/>
      <w:r/>
      <w:bookmarkStart w:id="29" w:name="_Toc35393804"/>
      <w:r/>
      <w:r/>
    </w:p>
    <w:p>
      <w:pPr>
        <w:numPr>
          <w:ilvl w:val="0"/>
          <w:numId w:val="1"/>
        </w:num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其他补充事宜</w:t>
      </w:r>
      <w:bookmarkEnd w:id="28"/>
      <w:r/>
      <w:bookmarkEnd w:id="29"/>
      <w:r/>
      <w:bookmarkStart w:id="30" w:name="_Toc35393805"/>
      <w:r/>
      <w:bookmarkStart w:id="31" w:name="_Toc35393636"/>
      <w:r/>
      <w:bookmarkStart w:id="32" w:name="_Toc28359095"/>
      <w:r/>
      <w:bookmarkStart w:id="33" w:name="_Toc28359018"/>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1.项目磋商活动模式：不见面远程磋商模式，供应商在各自地点通过不见面交易系统参加开标会。 </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4.相关法律法规规定：</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《政府采购竞争性磋商采购方式管理暂行办法》（财库〔2014〕214号）第二十三条：经磋商确定最终采</w:t>
      </w:r>
      <w:r>
        <w:rPr>
          <w:rFonts w:hint="eastAsia" w:ascii="宋体" w:hAnsi="宋体" w:eastAsia="宋体" w:cs="宋体"/>
          <w:color w:val="auto"/>
          <w:szCs w:val="21"/>
          <w:highlight w:val="none"/>
        </w:rPr>
        <w:t xml:space="preserve">购需求和提交最后报价的供应商后，由磋商小组采用综合评分法对提交最后报价的供应商的响应文件和最后报价进行综合评分。</w:t>
      </w:r>
      <w:r/>
    </w:p>
    <w:p>
      <w:pPr>
        <w:numPr>
          <w:ilvl w:val="0"/>
          <w:numId w:val="0"/>
        </w:numPr>
        <w:ind w:firstLine="420"/>
        <w:pageBreakBefore w:val="0"/>
        <w:spacing w:line="360" w:lineRule="auto"/>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本项目为固定</w:t>
      </w:r>
      <w:r>
        <w:rPr>
          <w:rFonts w:hint="eastAsia" w:ascii="宋体" w:hAnsi="宋体" w:eastAsia="宋体" w:cs="宋体"/>
          <w:color w:val="auto"/>
          <w:szCs w:val="21"/>
          <w:highlight w:val="none"/>
          <w:lang w:val="en-US" w:eastAsia="zh-CN"/>
        </w:rPr>
        <w:t xml:space="preserve">单</w:t>
      </w:r>
      <w:r>
        <w:rPr>
          <w:rFonts w:hint="eastAsia" w:ascii="宋体" w:hAnsi="宋体" w:eastAsia="宋体" w:cs="宋体"/>
          <w:color w:val="auto"/>
          <w:szCs w:val="21"/>
          <w:highlight w:val="none"/>
        </w:rPr>
        <w:t xml:space="preserve">价合同，</w:t>
      </w:r>
      <w:r>
        <w:rPr>
          <w:rFonts w:hint="eastAsia" w:ascii="宋体" w:hAnsi="宋体" w:eastAsia="宋体" w:cs="宋体"/>
          <w:b/>
          <w:bCs w:val="0"/>
          <w:color w:val="auto"/>
          <w:sz w:val="21"/>
          <w:szCs w:val="21"/>
          <w:highlight w:val="none"/>
          <w:lang w:val="en-US" w:eastAsia="zh-CN" w:bidi="ar"/>
        </w:rPr>
        <w:t xml:space="preserve">本项目为固定单价合同，包含货物、包装、运输、技术支持与售后服务、保险、利润、税金、政策性文件规定及合同包含的所有风险、责任等各项应有费用。供应商应充分考虑本项目合同实施期间可能发生的费用，并承担由此而带来的风险。磋商过程中采购内容若无实质性变更，最终磋商报价不得超过首次响应报价，投标报价明细表不需再次填报，结算时最终投标报价明细表按照首次投标报价明细表同比例下浮。</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6.根据《关于推动解决政府采购异常低价问题相关工作的通知》（苏财购〔2025〕62号）精神，政府采购评审中出现下列情形之一的，评审委员会应当启动异常低价投标（响应）审查程序：</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6.1投标（响应）报价低于采购项目预算 50%的，即投标（响应）报价＜采购项目预算 ×50%；</w:t>
      </w:r>
      <w:r/>
    </w:p>
    <w:p>
      <w:pPr>
        <w:ind w:firstLine="420"/>
        <w:pageBreakBefore w:val="0"/>
        <w:spacing w:line="360" w:lineRule="auto"/>
        <w:rPr>
          <w:rFonts w:hint="eastAsia" w:ascii="宋体" w:hAnsi="宋体" w:cs="宋体"/>
          <w:szCs w:val="21"/>
          <w:highlight w:val="none"/>
        </w:rPr>
      </w:pPr>
      <w:r>
        <w:rPr>
          <w:rFonts w:hint="eastAsia" w:ascii="宋体" w:hAnsi="宋体" w:eastAsia="宋体" w:cs="宋体"/>
          <w:color w:val="auto"/>
          <w:szCs w:val="21"/>
          <w:highlight w:val="none"/>
        </w:rPr>
        <w:t xml:space="preserve">6.2投标（响</w:t>
      </w:r>
      <w:r>
        <w:rPr>
          <w:rFonts w:hint="eastAsia" w:ascii="宋体" w:hAnsi="宋体" w:cs="宋体"/>
          <w:szCs w:val="21"/>
          <w:highlight w:val="none"/>
        </w:rPr>
        <w:t xml:space="preserve">应）报价低于采购项目最高限价45%的，即投标（响应）报价＜采购项目最高限价 ×45%；</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6.3评审委员会认定的供应商报价过低、有可能影响产品质量或者不能诚信履约的其他情形。</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启动异常低价投标（响应）审查后，评审委员会应当要求相关供应商在评标现场合理的时间内，提供项目具体成本测算等与报价合理性相关的书面说明及相关证明材料</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1"/>
        </w:num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凡对本次采购提出询问，请按以下方式联系</w:t>
      </w:r>
      <w:bookmarkEnd w:id="30"/>
      <w:r/>
      <w:bookmarkEnd w:id="31"/>
      <w:r/>
      <w:bookmarkEnd w:id="32"/>
      <w:r/>
      <w:bookmarkEnd w:id="33"/>
      <w:r>
        <w:rPr>
          <w:rFonts w:hint="eastAsia" w:ascii="宋体" w:hAnsi="宋体" w:cs="宋体"/>
          <w:b/>
          <w:bCs/>
          <w:color w:val="auto"/>
          <w:szCs w:val="21"/>
          <w:highlight w:val="none"/>
        </w:rPr>
        <w:t xml:space="preserve">。</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1.采购单位：</w:t>
      </w:r>
      <w:r>
        <w:rPr>
          <w:rFonts w:hint="eastAsia" w:ascii="宋体" w:hAnsi="宋体" w:cs="宋体"/>
          <w:color w:val="auto"/>
          <w:szCs w:val="21"/>
          <w:highlight w:val="none"/>
          <w:lang w:eastAsia="zh-CN"/>
        </w:rPr>
        <w:t xml:space="preserve">泰州医药高新技术产业开发区（泰州市高港区）医药产业园管理办公室 </w:t>
      </w:r>
      <w:r/>
    </w:p>
    <w:p>
      <w:pPr>
        <w:ind w:firstLine="42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val="en-US" w:eastAsia="zh-CN"/>
        </w:rPr>
        <w:t xml:space="preserve">泰州医药高新区药城大道809号 </w:t>
      </w:r>
      <w:r/>
    </w:p>
    <w:p>
      <w:pPr>
        <w:ind w:firstLine="420"/>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张先生</w:t>
      </w: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w:t>
      </w:r>
      <w:r>
        <w:rPr>
          <w:rFonts w:hint="eastAsia" w:cs="宋体" w:asciiTheme="minorEastAsia" w:hAnsiTheme="minorEastAsia" w:eastAsiaTheme="minorEastAsia"/>
          <w:bCs/>
          <w:szCs w:val="21"/>
          <w:highlight w:val="none"/>
        </w:rPr>
        <w:t xml:space="preserve">0523-</w:t>
      </w:r>
      <w:r>
        <w:rPr>
          <w:rFonts w:hint="eastAsia" w:cs="宋体" w:asciiTheme="minorEastAsia" w:hAnsiTheme="minorEastAsia" w:eastAsiaTheme="minorEastAsia"/>
          <w:bCs/>
          <w:szCs w:val="21"/>
          <w:highlight w:val="none"/>
          <w:lang w:val="en-US" w:eastAsia="zh-CN"/>
        </w:rPr>
        <w:t xml:space="preserve">86209929</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2.代理机构：江苏华强工程投资管理咨询有限公司</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联系人：杨女士，联系电话：</w:t>
      </w:r>
      <w:r>
        <w:rPr>
          <w:rFonts w:hint="eastAsia" w:ascii="宋体" w:hAnsi="宋体" w:cs="宋体"/>
          <w:color w:val="auto"/>
          <w:szCs w:val="21"/>
          <w:highlight w:val="none"/>
          <w:lang w:eastAsia="zh-CN"/>
        </w:rPr>
        <w:t xml:space="preserve">13645263732</w:t>
      </w:r>
      <w:r>
        <w:rPr>
          <w:rFonts w:hint="eastAsia" w:ascii="宋体" w:hAnsi="宋体" w:cs="宋体"/>
          <w:color w:val="auto"/>
          <w:szCs w:val="21"/>
          <w:highlight w:val="none"/>
        </w:rPr>
        <w:t xml:space="preserve"> </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办公地址：江苏省泰州市海陵南路179号华诚大厦B座9楼</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邮政编码：225300</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3.项目联系人</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联系人：杨女士，联系电话：</w:t>
      </w:r>
      <w:r>
        <w:rPr>
          <w:rFonts w:hint="eastAsia" w:ascii="宋体" w:hAnsi="宋体" w:cs="宋体"/>
          <w:color w:val="auto"/>
          <w:szCs w:val="21"/>
          <w:highlight w:val="none"/>
          <w:lang w:eastAsia="zh-CN"/>
        </w:rPr>
        <w:t xml:space="preserve">13645263732</w:t>
      </w:r>
      <w:r/>
    </w:p>
    <w:p>
      <w:pPr>
        <w:ind w:firstLine="422"/>
        <w:jc w:val="center"/>
        <w:pageBreakBefore w:val="0"/>
        <w:spacing w:line="360" w:lineRule="auto"/>
        <w:rPr>
          <w:rFonts w:hint="eastAsia" w:ascii="宋体" w:hAnsi="宋体"/>
          <w:b/>
          <w:color w:val="auto"/>
          <w:szCs w:val="21"/>
          <w:highlight w:val="none"/>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color w:val="auto"/>
          <w:szCs w:val="21"/>
          <w:highlight w:val="none"/>
        </w:rPr>
      </w:r>
      <w:r/>
    </w:p>
    <w:p>
      <w:pPr>
        <w:ind w:firstLine="422"/>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第二章 参加磋商供应商须知</w:t>
      </w:r>
      <w:r/>
    </w:p>
    <w:p>
      <w:pPr>
        <w:ind w:firstLine="420"/>
        <w:jc w:val="center"/>
        <w:pageBreakBefore w:val="0"/>
        <w:spacing w:line="360" w:lineRule="auto"/>
        <w:rPr>
          <w:rFonts w:hint="eastAsia" w:ascii="宋体" w:hAnsi="宋体"/>
          <w:b/>
          <w:bCs/>
          <w:color w:val="auto"/>
          <w:szCs w:val="21"/>
          <w:highlight w:val="none"/>
        </w:rPr>
      </w:pPr>
      <w:r>
        <w:rPr>
          <w:rFonts w:hint="eastAsia" w:ascii="宋体" w:hAnsi="宋体"/>
          <w:bCs/>
          <w:color w:val="auto"/>
          <w:szCs w:val="21"/>
          <w:highlight w:val="none"/>
        </w:rPr>
        <w:t xml:space="preserve">（参加竞争性磋商的供应商以下简称“磋商供应商”）</w:t>
      </w:r>
      <w:bookmarkEnd w:id="5"/>
      <w:r/>
      <w:bookmarkEnd w:id="6"/>
      <w:r/>
      <w:bookmarkEnd w:id="7"/>
      <w:r/>
      <w:r/>
    </w:p>
    <w:p>
      <w:pPr>
        <w:ind w:firstLine="422"/>
        <w:pageBreakBefore w:val="0"/>
        <w:spacing w:line="360" w:lineRule="auto"/>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color w:val="auto"/>
          <w:szCs w:val="21"/>
          <w:highlight w:val="none"/>
        </w:rPr>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本磋商文件仅适用于</w:t>
      </w:r>
      <w:r>
        <w:rPr>
          <w:rFonts w:hint="eastAsia" w:ascii="宋体" w:hAnsi="宋体"/>
          <w:color w:val="auto"/>
          <w:szCs w:val="21"/>
          <w:highlight w:val="none"/>
          <w:lang w:eastAsia="zh-CN"/>
        </w:rPr>
        <w:t xml:space="preserve">泰州生物医药产业园专职消防救援站消防通信器材</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2.项目采购方式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3.合格的磋商供应商</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3.2.满足本磋商文件实质性要求和条件的规定。</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4.参加磋商费用</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82"/>
        <w:pageBreakBefore w:val="0"/>
        <w:spacing w:line="360" w:lineRule="auto"/>
        <w:rPr>
          <w:rFonts w:hint="eastAsia" w:ascii="宋体" w:hAnsi="宋体" w:cs="宋体"/>
          <w:b/>
          <w:bCs/>
          <w:color w:val="auto"/>
          <w:szCs w:val="21"/>
          <w:highlight w:val="none"/>
          <w:u w:val="single"/>
        </w:rPr>
      </w:pPr>
      <w:r>
        <w:rPr>
          <w:rFonts w:hint="eastAsia" w:ascii="宋体" w:hAnsi="宋体"/>
          <w:b/>
          <w:bCs/>
          <w:color w:val="auto"/>
          <w:szCs w:val="21"/>
          <w:highlight w:val="none"/>
        </w:rPr>
        <w:t xml:space="preserve">4.2</w:t>
      </w:r>
      <w:r>
        <w:rPr>
          <w:rFonts w:hint="eastAsia" w:ascii="宋体" w:hAnsi="宋体"/>
          <w:b/>
          <w:bCs/>
          <w:color w:val="auto"/>
          <w:szCs w:val="21"/>
          <w:highlight w:val="none"/>
          <w:u w:val="single"/>
          <w:lang w:eastAsia="zh-CN"/>
        </w:rPr>
        <w:t xml:space="preserve">招</w:t>
      </w:r>
      <w:r>
        <w:rPr>
          <w:rFonts w:hint="eastAsia" w:ascii="宋体" w:hAnsi="宋体" w:cs="宋体"/>
          <w:b/>
          <w:bCs/>
          <w:color w:val="auto"/>
          <w:szCs w:val="21"/>
          <w:highlight w:val="none"/>
          <w:u w:val="single"/>
        </w:rPr>
        <w:t xml:space="preserve">标代理服务费</w:t>
      </w:r>
      <w:r>
        <w:rPr>
          <w:rFonts w:hint="eastAsia" w:ascii="宋体" w:hAnsi="宋体" w:cs="宋体"/>
          <w:b/>
          <w:bCs/>
          <w:color w:val="auto"/>
          <w:szCs w:val="21"/>
          <w:highlight w:val="none"/>
          <w:u w:val="single"/>
          <w:lang w:val="en-US" w:eastAsia="zh-CN"/>
        </w:rPr>
        <w:t xml:space="preserve">叁仟元整（小写：3000元），</w:t>
      </w:r>
      <w:r>
        <w:rPr>
          <w:rFonts w:hint="eastAsia" w:ascii="宋体" w:hAnsi="宋体" w:cs="宋体"/>
          <w:b/>
          <w:bCs/>
          <w:color w:val="auto"/>
          <w:szCs w:val="21"/>
          <w:highlight w:val="none"/>
          <w:u w:val="single"/>
        </w:rPr>
        <w:t xml:space="preserve">上述费用由供应商支付，请各供应商在报价时考虑，确定成交供应商</w:t>
      </w:r>
      <w:r>
        <w:rPr>
          <w:rFonts w:hint="eastAsia" w:ascii="宋体" w:hAnsi="宋体" w:cs="宋体"/>
          <w:b/>
          <w:bCs/>
          <w:color w:val="auto"/>
          <w:szCs w:val="21"/>
          <w:highlight w:val="none"/>
          <w:u w:val="single"/>
          <w:lang w:eastAsia="zh-CN"/>
        </w:rPr>
        <w:t xml:space="preserve">后在</w:t>
      </w:r>
      <w:r>
        <w:rPr>
          <w:rFonts w:hint="eastAsia" w:ascii="宋体" w:hAnsi="宋体" w:cs="宋体"/>
          <w:b/>
          <w:bCs/>
          <w:color w:val="auto"/>
          <w:szCs w:val="21"/>
          <w:highlight w:val="none"/>
          <w:u w:val="single"/>
        </w:rPr>
        <w:t xml:space="preserve">领取成交通知书前一次性缴纳给招标代理服务机构。</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Cs w:val="21"/>
          <w:highlight w:val="none"/>
          <w:lang w:val="en-US"/>
        </w:rPr>
        <w:suppressLineNumbers w:val="0"/>
      </w:pPr>
      <w:r>
        <w:rPr>
          <w:rFonts w:hint="eastAsia" w:ascii="宋体" w:hAnsi="宋体" w:cs="宋体"/>
          <w:sz w:val="21"/>
          <w:szCs w:val="21"/>
          <w:highlight w:val="none"/>
          <w:lang w:val="en-US" w:eastAsia="zh-CN" w:bidi="ar"/>
        </w:rPr>
        <w:t xml:space="preserve">代理费</w:t>
      </w:r>
      <w:r>
        <w:rPr>
          <w:rFonts w:hint="eastAsia" w:ascii="宋体" w:hAnsi="宋体" w:eastAsia="宋体" w:cs="宋体"/>
          <w:sz w:val="21"/>
          <w:szCs w:val="21"/>
          <w:highlight w:val="none"/>
          <w:lang w:val="zh-CN" w:eastAsia="zh-CN" w:bidi="ar"/>
        </w:rPr>
        <w:t xml:space="preserve">汇款至以下账户</w:t>
      </w: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Cs w:val="21"/>
          <w:highlight w:val="none"/>
          <w:lang w:val="zh-CN" w:eastAsia="zh-CN"/>
        </w:rPr>
        <w:suppressLineNumbers w:val="0"/>
      </w:pPr>
      <w:r>
        <w:rPr>
          <w:rFonts w:hint="eastAsia" w:ascii="宋体" w:hAnsi="宋体" w:eastAsia="宋体" w:cs="宋体"/>
          <w:sz w:val="21"/>
          <w:szCs w:val="21"/>
          <w:highlight w:val="none"/>
          <w:lang w:val="zh-CN" w:eastAsia="zh-CN" w:bidi="ar"/>
        </w:rPr>
        <w:t xml:space="preserve">单位名称：江苏华强工程投资管理咨询有限公司</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Cs w:val="21"/>
          <w:highlight w:val="none"/>
          <w:lang w:val="zh-CN" w:eastAsia="zh-CN"/>
        </w:rPr>
        <w:suppressLineNumbers w:val="0"/>
      </w:pPr>
      <w:r>
        <w:rPr>
          <w:rFonts w:hint="eastAsia" w:ascii="宋体" w:hAnsi="宋体" w:eastAsia="宋体" w:cs="宋体"/>
          <w:sz w:val="21"/>
          <w:szCs w:val="21"/>
          <w:highlight w:val="none"/>
          <w:lang w:val="zh-CN" w:eastAsia="zh-CN" w:bidi="ar"/>
        </w:rPr>
        <w:t xml:space="preserve">开户行：中国银行泰州医药高新区健康支行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Cs w:val="21"/>
          <w:highlight w:val="none"/>
          <w:lang w:val="en-US"/>
        </w:rPr>
        <w:suppressLineNumbers w:val="0"/>
      </w:pPr>
      <w:r>
        <w:rPr>
          <w:rFonts w:hint="eastAsia" w:ascii="宋体" w:hAnsi="宋体" w:eastAsia="宋体" w:cs="宋体"/>
          <w:sz w:val="21"/>
          <w:szCs w:val="21"/>
          <w:highlight w:val="none"/>
          <w:lang w:val="zh-CN" w:eastAsia="zh-CN" w:bidi="ar"/>
        </w:rPr>
        <w:t xml:space="preserve">账号：</w:t>
      </w:r>
      <w:r>
        <w:rPr>
          <w:rFonts w:hint="eastAsia" w:ascii="宋体" w:hAnsi="宋体" w:eastAsia="宋体" w:cs="宋体"/>
          <w:sz w:val="21"/>
          <w:szCs w:val="21"/>
          <w:highlight w:val="none"/>
          <w:lang w:val="en-US" w:eastAsia="zh-CN" w:bidi="ar"/>
        </w:rPr>
        <w:t xml:space="preserve">487158205564</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供应商一旦领取了本磋商文件并决定参加磋商，</w:t>
      </w:r>
      <w:r>
        <w:rPr>
          <w:rFonts w:hint="eastAsia" w:ascii="宋体" w:hAnsi="宋体"/>
          <w:color w:val="auto"/>
          <w:szCs w:val="21"/>
          <w:highlight w:val="none"/>
          <w:lang w:eastAsia="zh-CN"/>
        </w:rPr>
        <w:t xml:space="preserve">即</w:t>
      </w:r>
      <w:r>
        <w:rPr>
          <w:rFonts w:hint="eastAsia" w:ascii="宋体" w:hAnsi="宋体"/>
          <w:color w:val="auto"/>
          <w:szCs w:val="21"/>
          <w:highlight w:val="none"/>
          <w:lang w:val="en-US" w:eastAsia="zh-CN"/>
        </w:rPr>
        <w:t xml:space="preserve">视</w:t>
      </w:r>
      <w:r>
        <w:rPr>
          <w:rFonts w:hint="eastAsia" w:ascii="宋体" w:hAnsi="宋体"/>
          <w:color w:val="auto"/>
          <w:szCs w:val="21"/>
          <w:highlight w:val="none"/>
        </w:rPr>
        <w:t xml:space="preserve">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color w:val="auto"/>
          <w:szCs w:val="21"/>
          <w:highlight w:val="none"/>
        </w:rPr>
      </w:pPr>
      <w:r/>
      <w:bookmarkStart w:id="34" w:name="_Toc20823309"/>
      <w:r/>
      <w:bookmarkStart w:id="35" w:name="_Toc513029237"/>
      <w:r/>
      <w:bookmarkStart w:id="36" w:name="_Toc16938553"/>
      <w:r>
        <w:rPr>
          <w:rFonts w:hint="eastAsia" w:ascii="宋体" w:hAnsi="宋体"/>
          <w:color w:val="auto"/>
          <w:szCs w:val="21"/>
          <w:highlight w:val="none"/>
        </w:rPr>
        <w:t xml:space="preserve">6.磋商文件的解释</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磋商文件需求部分（供应商资格要求、项目需求、商务技术评分标准</w:t>
      </w:r>
      <w:r>
        <w:rPr>
          <w:rFonts w:hint="eastAsia" w:ascii="宋体" w:hAnsi="宋体"/>
          <w:color w:val="auto"/>
          <w:szCs w:val="21"/>
          <w:highlight w:val="none"/>
          <w:lang w:val="en-US" w:eastAsia="zh-CN"/>
        </w:rPr>
        <w:t xml:space="preserve">等</w:t>
      </w:r>
      <w:r>
        <w:rPr>
          <w:rFonts w:hint="eastAsia" w:ascii="宋体" w:hAnsi="宋体"/>
          <w:color w:val="auto"/>
          <w:szCs w:val="21"/>
          <w:highlight w:val="none"/>
        </w:rPr>
        <w:t xml:space="preserve">）由采购人解释，其他部分由采购代理机构解释。</w:t>
      </w:r>
      <w:r/>
    </w:p>
    <w:p>
      <w:pPr>
        <w:ind w:firstLine="482"/>
        <w:pageBreakBefore w:val="0"/>
        <w:spacing w:line="360" w:lineRule="auto"/>
        <w:rPr>
          <w:rFonts w:cs="宋体"/>
          <w:b/>
          <w:color w:val="auto"/>
          <w:szCs w:val="21"/>
          <w:highlight w:val="none"/>
        </w:rPr>
      </w:pPr>
      <w:r/>
      <w:bookmarkStart w:id="37" w:name="_Toc16938525"/>
      <w:r/>
      <w:bookmarkStart w:id="38" w:name="_Toc120614215"/>
      <w:r/>
      <w:bookmarkStart w:id="39" w:name="_Toc20823281"/>
      <w:r>
        <w:rPr>
          <w:rFonts w:hint="eastAsia" w:cs="宋体"/>
          <w:b/>
          <w:color w:val="auto"/>
          <w:szCs w:val="21"/>
          <w:highlight w:val="none"/>
        </w:rPr>
        <w:t xml:space="preserve">二、磋商文件</w:t>
      </w:r>
      <w:bookmarkEnd w:id="37"/>
      <w:r/>
      <w:bookmarkEnd w:id="38"/>
      <w:r/>
      <w:bookmarkEnd w:id="39"/>
      <w:r/>
      <w:r/>
    </w:p>
    <w:p>
      <w:pPr>
        <w:ind w:firstLine="420"/>
        <w:pageBreakBefore w:val="0"/>
        <w:spacing w:line="360" w:lineRule="auto"/>
        <w:tabs>
          <w:tab w:val="left" w:pos="900" w:leader="none"/>
        </w:tabs>
        <w:rPr>
          <w:rFonts w:hint="eastAsia" w:ascii="宋体" w:hAnsi="宋体"/>
          <w:color w:val="auto"/>
          <w:szCs w:val="21"/>
          <w:highlight w:val="none"/>
        </w:rPr>
      </w:pPr>
      <w:r/>
      <w:bookmarkStart w:id="40" w:name="_Toc20823282"/>
      <w:r/>
      <w:bookmarkStart w:id="41" w:name="_Toc513029210"/>
      <w:r/>
      <w:bookmarkStart w:id="42" w:name="_Toc16938526"/>
      <w:r>
        <w:rPr>
          <w:rFonts w:hint="eastAsia" w:ascii="宋体" w:hAnsi="宋体"/>
          <w:color w:val="auto"/>
          <w:szCs w:val="21"/>
          <w:highlight w:val="none"/>
        </w:rPr>
        <w:t xml:space="preserve">1.磋商文件构成</w:t>
      </w:r>
      <w:bookmarkEnd w:id="40"/>
      <w:r/>
      <w:bookmarkEnd w:id="41"/>
      <w:r/>
      <w:bookmarkEnd w:id="42"/>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1.1 磋商文件由以下部分组成：</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（2）供应商须知</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（6）响应文件组成和格式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hint="eastAsia" w:ascii="宋体" w:hAnsi="宋体"/>
          <w:color w:val="auto"/>
          <w:szCs w:val="21"/>
          <w:highlight w:val="none"/>
        </w:rPr>
      </w:pPr>
      <w:r/>
      <w:bookmarkStart w:id="43" w:name="_Toc16938527"/>
      <w:r/>
      <w:bookmarkStart w:id="44" w:name="_Toc513029211"/>
      <w:r/>
      <w:bookmarkStart w:id="45" w:name="_Toc462564070"/>
      <w:r/>
      <w:bookmarkStart w:id="46" w:name="_Toc20823283"/>
      <w:r>
        <w:rPr>
          <w:rFonts w:hint="eastAsia" w:ascii="宋体" w:hAnsi="宋体"/>
          <w:color w:val="auto"/>
          <w:szCs w:val="21"/>
          <w:highlight w:val="none"/>
        </w:rPr>
        <w:t xml:space="preserve">2.磋商文件的澄清</w:t>
      </w:r>
      <w:bookmarkEnd w:id="43"/>
      <w:r/>
      <w:bookmarkEnd w:id="44"/>
      <w:r/>
      <w:bookmarkEnd w:id="45"/>
      <w:r/>
      <w:bookmarkEnd w:id="46"/>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color w:val="auto"/>
          <w:szCs w:val="21"/>
          <w:highlight w:val="none"/>
        </w:rPr>
      </w:pPr>
      <w:r/>
      <w:bookmarkStart w:id="47" w:name="_Toc16938528"/>
      <w:r/>
      <w:bookmarkStart w:id="48" w:name="_Toc20823284"/>
      <w:r/>
      <w:bookmarkStart w:id="49" w:name="_Toc462564071"/>
      <w:r/>
      <w:bookmarkStart w:id="50" w:name="_Toc513029212"/>
      <w:r>
        <w:rPr>
          <w:rFonts w:hint="eastAsia" w:ascii="宋体" w:hAnsi="宋体"/>
          <w:color w:val="auto"/>
          <w:szCs w:val="21"/>
          <w:highlight w:val="none"/>
        </w:rPr>
        <w:t xml:space="preserve">3.磋商文件的修改</w:t>
      </w:r>
      <w:bookmarkEnd w:id="47"/>
      <w:r/>
      <w:bookmarkEnd w:id="48"/>
      <w:r/>
      <w:bookmarkEnd w:id="49"/>
      <w:r/>
      <w:bookmarkEnd w:id="50"/>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rPr>
        <w:br/>
      </w:r>
      <w:r>
        <w:rPr>
          <w:rFonts w:hint="eastAsia" w:ascii="宋体" w:hAnsi="宋体"/>
          <w:color w:val="auto"/>
          <w:szCs w:val="21"/>
          <w:highlight w:val="none"/>
        </w:rPr>
        <w:t xml:space="preserve">    3.2磋商文件的修改将在江苏政府采购网公布，补充文件将作为磋商文件的组成部分，并对供应商具有约束力。</w:t>
      </w:r>
      <w:r/>
    </w:p>
    <w:p>
      <w:pPr>
        <w:ind w:firstLine="482"/>
        <w:pageBreakBefore w:val="0"/>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w:t>
      </w:r>
      <w:r>
        <w:rPr>
          <w:rFonts w:hint="eastAsia" w:ascii="宋体" w:hAnsi="宋体" w:cs="宋体"/>
          <w:b/>
          <w:bCs/>
          <w:color w:val="auto"/>
          <w:szCs w:val="21"/>
          <w:highlight w:val="none"/>
          <w:u w:val="single"/>
          <w:lang w:val="en-US" w:eastAsia="zh-CN"/>
        </w:rPr>
        <w:t xml:space="preserve">到</w:t>
      </w:r>
      <w:r>
        <w:rPr>
          <w:rFonts w:hint="eastAsia" w:ascii="宋体" w:hAnsi="宋体" w:cs="宋体"/>
          <w:b/>
          <w:bCs/>
          <w:color w:val="auto"/>
          <w:szCs w:val="21"/>
          <w:highlight w:val="none"/>
          <w:u w:val="single"/>
        </w:rPr>
        <w:t xml:space="preserve">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pageBreakBefore w:val="0"/>
        <w:spacing w:line="360" w:lineRule="auto"/>
        <w:rPr>
          <w:rFonts w:hint="eastAsia" w:ascii="宋体" w:hAnsi="宋体" w:cs="宋体"/>
          <w:b/>
          <w:color w:val="auto"/>
          <w:szCs w:val="21"/>
          <w:highlight w:val="none"/>
        </w:rPr>
      </w:pPr>
      <w:r/>
      <w:bookmarkStart w:id="51" w:name="_Toc513029213"/>
      <w:r/>
      <w:bookmarkStart w:id="52" w:name="_Toc462564072"/>
      <w:r/>
      <w:bookmarkStart w:id="53" w:name="_Toc120614216"/>
      <w:r/>
      <w:bookmarkStart w:id="54" w:name="_Toc20823285"/>
      <w:r/>
      <w:bookmarkStart w:id="55" w:name="_Toc16938529"/>
      <w:r>
        <w:rPr>
          <w:rFonts w:hint="eastAsia" w:ascii="宋体" w:hAnsi="宋体" w:cs="宋体"/>
          <w:b/>
          <w:color w:val="auto"/>
          <w:szCs w:val="21"/>
          <w:highlight w:val="none"/>
        </w:rPr>
        <w:t xml:space="preserve">三、响应文件的编制</w:t>
      </w:r>
      <w:bookmarkEnd w:id="51"/>
      <w:r/>
      <w:bookmarkEnd w:id="52"/>
      <w:r/>
      <w:bookmarkEnd w:id="53"/>
      <w:r/>
      <w:bookmarkEnd w:id="54"/>
      <w:r/>
      <w:bookmarkEnd w:id="55"/>
      <w:r/>
      <w:r/>
    </w:p>
    <w:p>
      <w:pPr>
        <w:ind w:firstLine="480"/>
        <w:pageBreakBefore w:val="0"/>
        <w:spacing w:line="360" w:lineRule="auto"/>
        <w:rPr>
          <w:rFonts w:hint="eastAsia" w:ascii="宋体" w:hAnsi="宋体" w:cs="宋体"/>
          <w:color w:val="auto"/>
          <w:szCs w:val="21"/>
          <w:highlight w:val="none"/>
        </w:rPr>
      </w:pPr>
      <w:r/>
      <w:bookmarkStart w:id="56" w:name="_Toc513029214"/>
      <w:r/>
      <w:bookmarkStart w:id="57" w:name="_Toc16938530"/>
      <w:r/>
      <w:bookmarkStart w:id="58" w:name="_Toc20823286"/>
      <w:r/>
      <w:bookmarkStart w:id="59" w:name="_Toc462564073"/>
      <w:r>
        <w:rPr>
          <w:rFonts w:hint="eastAsia" w:ascii="宋体" w:hAnsi="宋体" w:cs="宋体"/>
          <w:color w:val="auto"/>
          <w:szCs w:val="21"/>
          <w:highlight w:val="none"/>
        </w:rPr>
        <w:t xml:space="preserve">1.响应文件的语言及度量衡单位</w:t>
      </w:r>
      <w:bookmarkEnd w:id="56"/>
      <w:r/>
      <w:bookmarkEnd w:id="57"/>
      <w:r/>
      <w:bookmarkEnd w:id="58"/>
      <w:r/>
      <w:bookmarkEnd w:id="59"/>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1.2除技术性能另有规定外，响应文件所使用的度量衡单位，均须采用国家法定计量单位。</w:t>
      </w:r>
      <w:r/>
    </w:p>
    <w:p>
      <w:pPr>
        <w:ind w:firstLine="480"/>
        <w:pageBreakBefore w:val="0"/>
        <w:spacing w:line="360" w:lineRule="auto"/>
        <w:rPr>
          <w:rFonts w:hint="eastAsia" w:ascii="宋体" w:hAnsi="宋体" w:cs="宋体"/>
          <w:color w:val="auto"/>
          <w:szCs w:val="21"/>
          <w:highlight w:val="none"/>
        </w:rPr>
      </w:pPr>
      <w:r/>
      <w:bookmarkStart w:id="60" w:name="_Toc16938531"/>
      <w:r/>
      <w:bookmarkStart w:id="61" w:name="_Toc513029215"/>
      <w:r/>
      <w:bookmarkStart w:id="62" w:name="_Toc20823287"/>
      <w:r/>
      <w:bookmarkStart w:id="63" w:name="_Toc462564074"/>
      <w:r>
        <w:rPr>
          <w:rFonts w:hint="eastAsia" w:ascii="宋体" w:hAnsi="宋体" w:cs="宋体"/>
          <w:color w:val="auto"/>
          <w:szCs w:val="21"/>
          <w:highlight w:val="none"/>
        </w:rPr>
        <w:t xml:space="preserve">2.响应文件构成</w:t>
      </w:r>
      <w:bookmarkEnd w:id="60"/>
      <w:r/>
      <w:bookmarkEnd w:id="61"/>
      <w:r/>
      <w:bookmarkEnd w:id="62"/>
      <w:r/>
      <w:bookmarkEnd w:id="63"/>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2.1供应商编写的响应文件应包括资格审查文件、商务技术响应文件、报价响应文件。供应商按第六章 响应文件的组成和格式要求编写响应文件。</w:t>
      </w:r>
      <w:r/>
    </w:p>
    <w:p>
      <w:pPr>
        <w:ind w:firstLine="480"/>
        <w:pageBreakBefore w:val="0"/>
        <w:spacing w:line="360" w:lineRule="auto"/>
        <w:rPr>
          <w:rFonts w:hint="eastAsia" w:ascii="宋体" w:hAnsi="宋体" w:cs="宋体"/>
          <w:color w:val="auto"/>
          <w:szCs w:val="21"/>
          <w:highlight w:val="none"/>
        </w:rPr>
      </w:pPr>
      <w:r/>
      <w:bookmarkStart w:id="64" w:name="_Hlt26668975"/>
      <w:r/>
      <w:bookmarkEnd w:id="64"/>
      <w:r/>
      <w:bookmarkStart w:id="65" w:name="_Hlt26670360"/>
      <w:r/>
      <w:bookmarkEnd w:id="65"/>
      <w:r/>
      <w:bookmarkStart w:id="66" w:name="_Hlt26954838"/>
      <w:r/>
      <w:bookmarkEnd w:id="66"/>
      <w:r/>
      <w:bookmarkStart w:id="67" w:name="_Toc49090511"/>
      <w:r/>
      <w:bookmarkStart w:id="68" w:name="_Toc14577360"/>
      <w:r>
        <w:rPr>
          <w:rFonts w:hint="eastAsia" w:ascii="宋体" w:hAnsi="宋体" w:cs="宋体"/>
          <w:color w:val="auto"/>
          <w:szCs w:val="21"/>
          <w:highlight w:val="none"/>
        </w:rPr>
        <w:t xml:space="preserve">3.</w:t>
      </w:r>
      <w:bookmarkEnd w:id="67"/>
      <w:r/>
      <w:bookmarkEnd w:id="68"/>
      <w:r>
        <w:rPr>
          <w:rFonts w:hint="eastAsia" w:ascii="宋体" w:hAnsi="宋体" w:cs="宋体"/>
          <w:color w:val="auto"/>
          <w:szCs w:val="21"/>
          <w:highlight w:val="none"/>
        </w:rPr>
        <w:t xml:space="preserve">磋商响应有效期</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3.1磋商响应有效期为采购文件规定的响应文件</w:t>
      </w:r>
      <w:r>
        <w:rPr>
          <w:rFonts w:hint="eastAsia" w:ascii="宋体" w:hAnsi="宋体" w:cs="宋体"/>
          <w:color w:val="auto"/>
          <w:szCs w:val="21"/>
          <w:highlight w:val="none"/>
        </w:rPr>
        <w:t xml:space="preserve">提交</w:t>
      </w:r>
      <w:r>
        <w:rPr>
          <w:rFonts w:hint="eastAsia" w:ascii="宋体" w:hAnsi="宋体" w:cs="宋体"/>
          <w:bCs/>
          <w:color w:val="auto"/>
          <w:szCs w:val="21"/>
          <w:highlight w:val="none"/>
        </w:rPr>
        <w:t xml:space="preserve">截止时间后</w:t>
      </w:r>
      <w:r>
        <w:rPr>
          <w:rFonts w:hint="eastAsia" w:ascii="宋体" w:hAnsi="宋体" w:cs="宋体"/>
          <w:b/>
          <w:color w:val="auto"/>
          <w:szCs w:val="21"/>
          <w:highlight w:val="none"/>
          <w:u w:val="single"/>
        </w:rPr>
        <w:t xml:space="preserve">六十（60）天</w:t>
      </w:r>
      <w:r>
        <w:rPr>
          <w:rFonts w:hint="eastAsia" w:ascii="宋体" w:hAnsi="宋体" w:cs="宋体"/>
          <w:bCs/>
          <w:color w:val="auto"/>
          <w:szCs w:val="21"/>
          <w:highlight w:val="none"/>
        </w:rPr>
        <w:t xml:space="preserve">。磋</w:t>
      </w:r>
      <w:r>
        <w:rPr>
          <w:rFonts w:hint="eastAsia" w:ascii="宋体" w:hAnsi="宋体" w:cs="宋体"/>
          <w:color w:val="auto"/>
          <w:szCs w:val="21"/>
          <w:highlight w:val="none"/>
        </w:rPr>
        <w:t xml:space="preserve">商响应有效期比规定短的将被视为非实质性响应而予以拒绝。</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 磋商响应有效期的延长</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hint="eastAsia" w:ascii="宋体" w:hAnsi="宋体" w:cs="宋体"/>
          <w:color w:val="auto"/>
          <w:szCs w:val="21"/>
          <w:highlight w:val="none"/>
        </w:rPr>
      </w:pPr>
      <w:r/>
      <w:bookmarkStart w:id="69" w:name="_Hlt26954739"/>
      <w:r/>
      <w:bookmarkEnd w:id="69"/>
      <w:r/>
      <w:bookmarkStart w:id="70" w:name="_Hlt26954852"/>
      <w:r/>
      <w:bookmarkEnd w:id="70"/>
      <w:r/>
      <w:bookmarkStart w:id="71" w:name="_Toc16938540"/>
      <w:r/>
      <w:bookmarkStart w:id="72" w:name="_Toc120614217"/>
      <w:r/>
      <w:bookmarkStart w:id="73" w:name="_Toc513029224"/>
      <w:r/>
      <w:bookmarkStart w:id="74" w:name="_Toc20823296"/>
      <w:r>
        <w:rPr>
          <w:rFonts w:hint="eastAsia" w:ascii="宋体" w:hAnsi="宋体" w:cs="宋体"/>
          <w:color w:val="auto"/>
          <w:szCs w:val="21"/>
          <w:highlight w:val="none"/>
        </w:rPr>
        <w:t xml:space="preserve">5.电子响应文件其他要求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5.1电子招标投标交易平台（即“苏采云”系统）相关要求是本采购文件的组成部分。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5.2供应商应对CA证书妥善保管，如被他人盗用投标，因此带来的后果均由供应商自行承担。</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5.3供应商应当对采购文件提出的实质性要求和条件作出实质性响应，并在电子投标系统逐条应答。</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5.4供应商应</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要求提供的资格证明文件（如资质证书、资格证书）、技术资料（如白皮书、彩页、手册、检测报告等）扫描上传至投标系统。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四、响应文件的提交</w:t>
      </w:r>
      <w:bookmarkEnd w:id="71"/>
      <w:r/>
      <w:bookmarkEnd w:id="72"/>
      <w:r/>
      <w:bookmarkEnd w:id="73"/>
      <w:r/>
      <w:bookmarkEnd w:id="74"/>
      <w:r/>
      <w:r/>
    </w:p>
    <w:p>
      <w:pPr>
        <w:ind w:firstLine="480"/>
        <w:pageBreakBefore w:val="0"/>
        <w:spacing w:line="360" w:lineRule="auto"/>
        <w:rPr>
          <w:rFonts w:hint="eastAsia" w:ascii="宋体" w:hAnsi="宋体" w:cs="宋体"/>
          <w:color w:val="auto"/>
          <w:szCs w:val="21"/>
          <w:highlight w:val="none"/>
        </w:rPr>
      </w:pPr>
      <w:r/>
      <w:bookmarkStart w:id="75" w:name="_Toc462564084"/>
      <w:r/>
      <w:bookmarkStart w:id="76" w:name="_Toc16938541"/>
      <w:r/>
      <w:bookmarkStart w:id="77" w:name="_Toc513029225"/>
      <w:r/>
      <w:bookmarkStart w:id="78" w:name="_Toc20823297"/>
      <w:r/>
      <w:bookmarkStart w:id="79" w:name="_Toc513029229"/>
      <w:r/>
      <w:bookmarkStart w:id="80" w:name="_Toc20823301"/>
      <w:r/>
      <w:bookmarkStart w:id="81" w:name="_Toc120614218"/>
      <w:r/>
      <w:bookmarkStart w:id="82" w:name="_Toc16938545"/>
      <w:r>
        <w:rPr>
          <w:rFonts w:hint="eastAsia" w:ascii="宋体" w:hAnsi="宋体" w:cs="宋体"/>
          <w:color w:val="auto"/>
          <w:szCs w:val="21"/>
          <w:highlight w:val="none"/>
        </w:rPr>
        <w:t xml:space="preserve">1.响应文件</w:t>
      </w:r>
      <w:bookmarkEnd w:id="75"/>
      <w:r/>
      <w:bookmarkEnd w:id="76"/>
      <w:r/>
      <w:bookmarkEnd w:id="77"/>
      <w:r/>
      <w:bookmarkEnd w:id="78"/>
      <w:r>
        <w:rPr>
          <w:rFonts w:hint="eastAsia" w:ascii="宋体" w:hAnsi="宋体" w:cs="宋体"/>
          <w:color w:val="auto"/>
          <w:szCs w:val="21"/>
          <w:highlight w:val="none"/>
        </w:rPr>
        <w:t xml:space="preserve">的提交</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线上提交与接收地点：供应商应当通过“苏采云”系统提交数据电文形式的响应文件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即电子投标</w:t>
      </w:r>
      <w:r>
        <w:rPr>
          <w:rFonts w:hint="eastAsia" w:ascii="宋体" w:hAnsi="宋体" w:cs="宋体"/>
          <w:color w:val="auto"/>
          <w:szCs w:val="21"/>
          <w:highlight w:val="none"/>
          <w:lang w:val="en-US" w:eastAsia="zh-CN"/>
        </w:rPr>
        <w:t xml:space="preserve">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，“苏采云”系统自动接收。</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2.提交响应文件截止日期</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3.响应文件的密封（加密）要求：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w:t>
      </w:r>
      <w:r>
        <w:rPr>
          <w:rFonts w:hint="eastAsia" w:ascii="宋体" w:hAnsi="宋体" w:cs="宋体"/>
          <w:color w:val="auto"/>
          <w:szCs w:val="21"/>
          <w:highlight w:val="none"/>
          <w:lang w:val="en-US" w:eastAsia="zh-CN"/>
        </w:rPr>
        <w:t xml:space="preserve">进行</w:t>
      </w:r>
      <w:r>
        <w:rPr>
          <w:rFonts w:hint="eastAsia" w:ascii="宋体" w:hAnsi="宋体" w:cs="宋体"/>
          <w:color w:val="auto"/>
          <w:szCs w:val="21"/>
          <w:highlight w:val="none"/>
        </w:rPr>
        <w:t xml:space="preserve">加密。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说明：供应商应使用CA数字证书以及自备的能够登录“苏采云”系统的电脑，在达到开标时间后，使用CA数字证书解密各自响应文件。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3.3供应商未按规定加密的响应文件，“苏采云”系统将拒收并提示。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4.响应文件的拒收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“苏采云”系统拒绝接收在规定的响应文件提交截止时间后上传的任何响应文件。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 响应文件的撤回和修改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响应文件的撤回</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5.1.1电子响应文件的撤回</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供应商可在响应文件提交截止时间前，撤回其电子响应文件，具体操作方法见“苏采云”系统供应商操作手册。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5.1.2供应商撤回电子响应文件，则认为其不再参与本项目竞争性磋商活动。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5.2响应文件的修改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5.3在响应文件提交截止时间之后，供应商不得对其电子响应文件做任何修改。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w:t>
      </w:r>
      <w:bookmarkEnd w:id="79"/>
      <w:r/>
      <w:bookmarkEnd w:id="80"/>
      <w:r/>
      <w:bookmarkEnd w:id="81"/>
      <w:r/>
      <w:bookmarkEnd w:id="82"/>
      <w:r/>
      <w:bookmarkStart w:id="83" w:name="_Toc513029230"/>
      <w:r/>
      <w:bookmarkStart w:id="84" w:name="_Toc16938546"/>
      <w:r/>
      <w:bookmarkStart w:id="85" w:name="_Toc20823302"/>
      <w:r>
        <w:rPr>
          <w:rFonts w:hint="eastAsia" w:ascii="宋体" w:hAnsi="宋体" w:cs="宋体"/>
          <w:b/>
          <w:color w:val="auto"/>
          <w:szCs w:val="21"/>
          <w:highlight w:val="none"/>
        </w:rPr>
        <w:t xml:space="preserve">、磋商与评审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1.磋商仪式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1.1采购人或采购代理机构将在磋商公告中规定的时间和地点组织磋商开始仪式。</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auto"/>
          <w:szCs w:val="21"/>
          <w:highlight w:val="none"/>
          <w:u w:val="single"/>
        </w:rPr>
        <w:t xml:space="preserve">30分钟</w:t>
      </w:r>
      <w:r>
        <w:rPr>
          <w:rFonts w:hint="eastAsia" w:ascii="宋体" w:hAnsi="宋体" w:cs="宋体"/>
          <w:b/>
          <w:color w:val="auto"/>
          <w:szCs w:val="21"/>
          <w:highlight w:val="none"/>
        </w:rPr>
        <w:t xml:space="preserve">之内完成。</w:t>
      </w:r>
      <w:r>
        <w:rPr>
          <w:rFonts w:hint="eastAsia" w:ascii="宋体" w:hAnsi="宋体" w:cs="宋体"/>
          <w:b/>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1.2磋商活动的文件解密工作由采购代理机构组织。</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注：各供应商请关注开标大厅交流区，在开标结束后，请勿离开开标大厅，采购人或采购代理机构通知最后报价填报后，</w:t>
      </w:r>
      <w:r>
        <w:rPr>
          <w:rFonts w:hint="eastAsia" w:ascii="宋体" w:hAnsi="宋体" w:cs="宋体"/>
          <w:b/>
          <w:color w:val="auto"/>
          <w:szCs w:val="21"/>
          <w:highlight w:val="none"/>
          <w:lang w:eastAsia="zh-CN"/>
        </w:rPr>
        <w:t xml:space="preserve">所有</w:t>
      </w:r>
      <w:r>
        <w:rPr>
          <w:rFonts w:hint="eastAsia" w:ascii="宋体" w:hAnsi="宋体" w:cs="宋体"/>
          <w:b/>
          <w:color w:val="auto"/>
          <w:szCs w:val="21"/>
          <w:highlight w:val="none"/>
        </w:rPr>
        <w:t xml:space="preserve">响应供应商须在</w:t>
      </w:r>
      <w:r>
        <w:rPr>
          <w:rFonts w:hint="eastAsia" w:ascii="宋体" w:hAnsi="宋体" w:cs="宋体"/>
          <w:b/>
          <w:color w:val="auto"/>
          <w:szCs w:val="21"/>
          <w:highlight w:val="none"/>
          <w:u w:val="single"/>
          <w:lang w:eastAsia="zh-CN"/>
        </w:rPr>
        <w:t xml:space="preserve">15分钟</w:t>
      </w:r>
      <w:r>
        <w:rPr>
          <w:rFonts w:hint="eastAsia" w:ascii="宋体" w:hAnsi="宋体" w:cs="宋体"/>
          <w:b/>
          <w:color w:val="auto"/>
          <w:szCs w:val="21"/>
          <w:highlight w:val="none"/>
        </w:rPr>
        <w:t xml:space="preserve">内填写并提交最后报价，未在规定时间内提交最后报价的，视作无效响应处理。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2.磋商小组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2.1磋商开始仪式结束后，采购人或采购代理机构将立即组织磋商小组进行评审。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color w:val="auto"/>
          <w:szCs w:val="21"/>
          <w:highlight w:val="none"/>
        </w:rPr>
        <w:t xml:space="preserve">自行选定评审专家。技术</w:t>
      </w:r>
      <w:r>
        <w:rPr>
          <w:rFonts w:hint="eastAsia" w:cs="宋体"/>
          <w:color w:val="auto"/>
          <w:szCs w:val="21"/>
          <w:highlight w:val="none"/>
        </w:rPr>
        <w:t xml:space="preserve">复杂</w:t>
      </w:r>
      <w:r>
        <w:rPr>
          <w:rFonts w:hint="eastAsia"/>
          <w:color w:val="auto"/>
          <w:szCs w:val="21"/>
          <w:highlight w:val="none"/>
        </w:rPr>
        <w:t xml:space="preserve">、专业性强的竞</w:t>
      </w:r>
      <w:r>
        <w:rPr>
          <w:rFonts w:hint="eastAsia" w:ascii="宋体" w:hAnsi="宋体" w:cs="宋体"/>
          <w:color w:val="auto"/>
          <w:szCs w:val="21"/>
          <w:highlight w:val="none"/>
        </w:rPr>
        <w:t xml:space="preserve">争性磋商采购项目，评审专家中应当包含1名法律专家。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2.4磋商小组独立工作，负责评审所有响应文件并确定成交候选人。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3.磋商评审过程的保密与公正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3.1磋商小组、采购人或采购代理机构、相关监督人员等与评审工作有关的人员，对评审情况以及在评审过程中获悉的国家秘密、商业秘密负有保密责任。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3.2在磋商评审过程中，磋商供应商不得以任何行为影响磋商评审过程，否则其响应文件将被视为无效响应文件。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3.5在评审期间，采购人或采购代理机构将设专门人员与供应商联系。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3.6采购人、采购代理机构和磋商小组不向未成交的供应商解释未成交原因，也不公布评审过程中的相关细节。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4.评审过程的澄清</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4.1</w:t>
      </w:r>
      <w:r>
        <w:rPr>
          <w:rFonts w:hint="eastAsia" w:ascii="宋体" w:hAnsi="宋体" w:cs="宋体"/>
          <w:color w:val="auto"/>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4.2</w:t>
      </w:r>
      <w:r>
        <w:rPr>
          <w:rFonts w:hint="eastAsia" w:ascii="宋体" w:hAnsi="宋体" w:cs="宋体"/>
          <w:color w:val="auto"/>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4.3接到磋商小组</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要求的供应商应按磋商小组规定的时间和格式做出</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的内容作为响应文件的补充部分，但实质性的内容不得做任何更改。</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4.4接到磋商小组澄清、说明或更正要求的供应商如未按规定作出澄清、说明或更正的，其风险由供应商自行承担。</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5.对响应文件的审查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5.1响应文件初审分为资格性审查和符合性审查。</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5.1.1资格性检查：</w:t>
      </w:r>
      <w:r>
        <w:rPr>
          <w:rFonts w:hint="eastAsia" w:ascii="宋体" w:hAnsi="宋体" w:cs="宋体"/>
          <w:color w:val="auto"/>
          <w:szCs w:val="21"/>
          <w:highlight w:val="none"/>
          <w:lang w:val="zh-CN"/>
        </w:rPr>
        <w:t xml:space="preserve">依据法律法规和磋商文件的规定，由采购人对响应文件中的资格审查文件进行审查。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采购人在进行资格审查的同时，将在“信用中国”网站查询供应商的信用记录，以确定供应商是否具备磋商资格。</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5.1.3未通过资格审查或符合性审查的供应商，</w:t>
      </w:r>
      <w:r>
        <w:rPr>
          <w:rFonts w:hint="eastAsia" w:ascii="宋体" w:hAnsi="宋体" w:cs="宋体"/>
          <w:color w:val="auto"/>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w:t>
      </w:r>
      <w:r>
        <w:rPr>
          <w:rFonts w:hint="eastAsia" w:ascii="宋体" w:hAnsi="宋体" w:cs="宋体"/>
          <w:color w:val="auto"/>
          <w:szCs w:val="21"/>
          <w:highlight w:val="none"/>
          <w:lang w:val="zh-CN"/>
        </w:rPr>
        <w:t xml:space="preserve">在正式磋商之前</w:t>
      </w:r>
      <w:r>
        <w:rPr>
          <w:rFonts w:hint="eastAsia" w:ascii="宋体" w:hAnsi="宋体" w:cs="宋体"/>
          <w:color w:val="auto"/>
          <w:szCs w:val="21"/>
          <w:highlight w:val="none"/>
        </w:rPr>
        <w:t xml:space="preserve">，磋商小组将首先审查每份响应文件是否实质性响应了磋商文件的要求。实质性响应的响应文件</w:t>
      </w:r>
      <w:r>
        <w:rPr>
          <w:rFonts w:hint="eastAsia" w:ascii="宋体" w:hAnsi="宋体" w:cs="宋体"/>
          <w:color w:val="auto"/>
          <w:szCs w:val="21"/>
          <w:highlight w:val="none"/>
          <w:lang w:eastAsia="zh-CN"/>
        </w:rPr>
        <w:t xml:space="preserve">应该</w:t>
      </w:r>
      <w:r>
        <w:rPr>
          <w:rFonts w:hint="eastAsia" w:ascii="宋体" w:hAnsi="宋体" w:cs="宋体"/>
          <w:color w:val="auto"/>
          <w:szCs w:val="21"/>
          <w:highlight w:val="none"/>
        </w:rPr>
        <w:t xml:space="preserve">与磋商文件要求的全部条款、条件和规格相符，没有重大负偏离或保留。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5.4磋商小组将对确定为实质性响应的文件进行进一步审核，看其是否有计算上或累加上的算术错误，修正错误的原则如下：</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（1）响应文件中报价总表内容与响应文件中相应内容不一致的，以报价总表为准。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（3）单价金额小数点或者百分比有明显错位的，以报价总表的总价为准，并修改单价。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同时出现两种以上错误的，按照前款规定的顺序修正。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5.6磋商小组将允许修正响应文件中不构成重大偏离的、微小的、非正规的、不一致的或不规则的地方，但这些修改不能影响任何供应商相应的名次排列。</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5.7供应商在评审全过程中应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，并安排专人与采购人或采购代理机构及磋商小组联系。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 响应文件线上格式要求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6.1供应商应当通过“苏采云”系统提交数据电文形式的响应文件（即电子投标）。</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6.2通过“苏采云”系统提交政府采购客户端工具导出加密的响应文件（后缀名为zip）。</w:t>
      </w:r>
      <w:r>
        <w:rPr>
          <w:rFonts w:hint="eastAsia" w:ascii="宋体" w:hAnsi="宋体" w:cs="宋体"/>
          <w:b/>
          <w:bCs/>
          <w:color w:val="auto"/>
          <w:szCs w:val="21"/>
          <w:highlight w:val="none"/>
        </w:rPr>
        <w:t xml:space="preserve">响应文件不得超过150M</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6.3本项目采用线上投标，即供应商响应文件从政府采购客户端工具制作通过“苏采云”系统提交，未提供线上响应文件的，投标无效。</w:t>
      </w:r>
      <w:bookmarkEnd w:id="83"/>
      <w:r/>
      <w:bookmarkEnd w:id="84"/>
      <w:r/>
      <w:bookmarkEnd w:id="85"/>
      <w:r/>
      <w:bookmarkStart w:id="86" w:name="_Toc120614219"/>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 被认定为未实质性响应磋商文件的情形：</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7.1出现下列情形之一的，作无效响应处理，</w:t>
      </w:r>
      <w:r>
        <w:rPr>
          <w:rFonts w:hint="eastAsia" w:ascii="宋体" w:hAnsi="宋体" w:cs="宋体"/>
          <w:b/>
          <w:color w:val="auto"/>
          <w:szCs w:val="21"/>
          <w:highlight w:val="none"/>
        </w:rPr>
        <w:t xml:space="preserve">并视情报监管部门调查其相互串通投标嫌疑。</w:t>
      </w:r>
      <w:r>
        <w:rPr>
          <w:rFonts w:hint="eastAsia" w:ascii="宋体" w:hAnsi="宋体" w:cs="宋体"/>
          <w:b/>
          <w:bCs/>
          <w:color w:val="auto"/>
          <w:szCs w:val="21"/>
          <w:highlight w:val="none"/>
        </w:rPr>
        <w:tab/>
      </w:r>
      <w:r>
        <w:rPr>
          <w:rFonts w:hint="eastAsia" w:ascii="宋体" w:hAnsi="宋体" w:cs="宋体"/>
          <w:b/>
          <w:color w:val="auto"/>
          <w:szCs w:val="21"/>
          <w:highlight w:val="none"/>
        </w:rPr>
        <w:tab/>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7.1.1供应商在规定的时间内未在苏采云系统内成功提交磋商响应文件的。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7.1.2未完整提交响应文件的。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7.1.3同一供应商提交两个（含两个）以上不同的响应报价的。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7.1.4不具备磋商文件中规定的资格要求的。 </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7.1.5供应商在系统规定的时间内未成功解密电子响应文件的。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7.1.6未完整上传响应文件电子文档的，或上传的文件打不开的。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7.1.8响应报价超过了采购预算或最高限价的。 </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7.1.9未通过符合性检查的。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7.1.10不符合法律法规和磋商文件中规定的其他实质性要求的。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7.1.12响应文件含有采购人不能接受的附加条件的。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7.1.13本项目采购产品被财政部、国家发展改革委、生态环境部等列入“节能产品品目清单</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7.1.14响应文件未按照磋商文件要求加盖电子签章。</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7.1.15供应商的商务技术部分得分相差悬殊，评审委员会认为得分畸低者没有实质性响应的。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7.1.16</w:t>
      </w:r>
      <w:r>
        <w:rPr>
          <w:rFonts w:hint="eastAsia" w:ascii="宋体" w:hAnsi="宋体" w:cs="宋体"/>
          <w:b/>
          <w:color w:val="auto"/>
          <w:szCs w:val="21"/>
          <w:highlight w:val="none"/>
        </w:rPr>
        <w:t xml:space="preserve">不同供应商的响应文件由同一单位或者个人编制的；不同供应商的磋商响应文件相互混传；</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7.1.17不同供应商委托同一单位或者个人办理磋商事宜；不同供应商的磋商响应文件错漏之处雷同；</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7.1.18不同供应商的响应文件载明的项目管理成员或者联系人员为同一人；</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7.1.19不同供应商的响应文件异常一致或者响应报价呈规律性差异。</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7.1.20供应商之间相互约定，一致抬高或压低投标报价；</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7.1.21供应商之间相互约定，在招标项目中轮流以高价位或低价位成交；</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7.1.22不同供应商的技术服务方案（或施工组织设计方案）基本雷同的；不同供应商的磋商响应文件出现了评审委员会认为不应当雷同的情况；</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7.1.23开标前已有举报，开标后发现各投标单位的报价情况与举报情况相吻合的；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7.1.24磋商小组一致认定判为无效响应的；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7.1.25不同的供应商响应文件制作机器码、文件创建标识码一致的。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其他法律法规及本磋商文件规定的属无效响应的情形：</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7.2</w:t>
      </w:r>
      <w:r>
        <w:rPr>
          <w:rFonts w:hint="eastAsia" w:ascii="宋体" w:hAnsi="宋体" w:cs="宋体"/>
          <w:b/>
          <w:color w:val="auto"/>
          <w:szCs w:val="21"/>
          <w:highlight w:val="none"/>
        </w:rPr>
        <w:t xml:space="preserve">凡磋商响应文件有下列情形之一的，属于重大偏差，视同未能对采购文件作出实质性响应，按废标处理。 </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7.2.1法人授权委托书或投标函未加盖投标供应商公章（或电子印章）的；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7.2.2未按采购文件规定的格式填写，内容不全或关键字迹模糊、无法辨认的； </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7.2.4磋商响应文件载明的项目完成期限超过采购文件规定的期限；</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7.2.5明显不符合技术规范、技术标准的要求，或者对采购文件质量要求未明确响应的；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7.2.6投标报价低于成本或者高于采购文件规定的最高限价（招标控制价）的；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7.2.7磋商响应文件载明的货物包装方式、检验标准和方法等不符合采购文件的要求；</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7.2.8组成联合体参加磋商活动的，磋商响应文件未附联合体各方共同投标协议的；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7.2.9在同一采购项目中，联合体成员以自己名义单独参加磋商或者参加其他联合体磋商活动的；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7.2.10未按采购文件要求提供磋商响应文件内容不全的；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7.2.11以他人的名义投标、串通投标、以行贿手段谋取中标或者以其他弄虚作假方式投标的；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7.3出现下列情形之一的，磋商失败。</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7.3.2出现影响采购公正的违法违规行为的；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7.3.3因重大变故，采购任务取消的。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7.3.4磋商小组认定磋商文件存在歧义、重大缺陷导致评审工作无法进行。</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7.3.5 因系统故障原因造成磋商无法继续进行的</w:t>
      </w:r>
      <w:r>
        <w:rPr>
          <w:rFonts w:hint="eastAsia" w:ascii="宋体" w:hAnsi="宋体" w:cs="宋体"/>
          <w:b/>
          <w:color w:val="auto"/>
          <w:szCs w:val="21"/>
          <w:highlight w:val="none"/>
        </w:rPr>
        <w:t xml:space="preserve">（适用于不见面磋商模式）</w:t>
      </w:r>
      <w:r>
        <w:rPr>
          <w:rFonts w:hint="eastAsia" w:ascii="宋体" w:hAnsi="宋体" w:cs="宋体"/>
          <w:b/>
          <w:bCs/>
          <w:color w:val="auto"/>
          <w:szCs w:val="21"/>
          <w:highlight w:val="none"/>
        </w:rPr>
        <w:t xml:space="preserve">。</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7.4 响应</w:t>
      </w:r>
      <w:r>
        <w:rPr>
          <w:rFonts w:hint="eastAsia" w:ascii="宋体" w:hAnsi="宋体" w:cs="宋体"/>
          <w:b/>
          <w:color w:val="auto"/>
          <w:szCs w:val="21"/>
          <w:highlight w:val="none"/>
        </w:rPr>
        <w:t xml:space="preserve">文件提交</w:t>
      </w:r>
      <w:r>
        <w:rPr>
          <w:rFonts w:hint="eastAsia" w:ascii="宋体" w:hAnsi="宋体" w:cs="宋体"/>
          <w:b/>
          <w:bCs/>
          <w:color w:val="auto"/>
          <w:szCs w:val="21"/>
          <w:highlight w:val="none"/>
        </w:rPr>
        <w:t xml:space="preserve">截止时间结束后参加磋商的供应商不足三家的处理：</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7.4.1如出现响应</w:t>
      </w:r>
      <w:r>
        <w:rPr>
          <w:rFonts w:hint="eastAsia" w:ascii="宋体" w:hAnsi="宋体" w:cs="宋体"/>
          <w:b/>
          <w:color w:val="auto"/>
          <w:szCs w:val="21"/>
          <w:highlight w:val="none"/>
        </w:rPr>
        <w:t xml:space="preserve">文件提交</w:t>
      </w:r>
      <w:r>
        <w:rPr>
          <w:rFonts w:hint="eastAsia" w:ascii="宋体" w:hAnsi="宋体" w:cs="宋体"/>
          <w:b/>
          <w:bCs/>
          <w:color w:val="auto"/>
          <w:szCs w:val="21"/>
          <w:highlight w:val="none"/>
        </w:rPr>
        <w:t xml:space="preserve">截止时间结束后参加磋商的供应商或者在评审期间对磋商文件做出实质响应的供应商不足三家情况，按政府采购相关规定执行。</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w:t>
      </w:r>
      <w:bookmarkEnd w:id="86"/>
      <w:r>
        <w:rPr>
          <w:rFonts w:hint="eastAsia" w:ascii="宋体" w:hAnsi="宋体" w:cs="宋体"/>
          <w:b/>
          <w:color w:val="auto"/>
          <w:szCs w:val="21"/>
          <w:highlight w:val="none"/>
        </w:rPr>
        <w:t xml:space="preserve">、成交</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1.确定成交单位</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1.1成交候选供应商的选取原则和数量见磋商文件第四部分规定。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1.2采购人授权磋商小组在成交候选供应商中直接确定成交供应商。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1.3采购代理机构将在“江苏政府采购网”发布成交结果公告，公告期限为1个工作日。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1.4若有充分证据证明，成交供应商出现下列情况之一的，一经查实，将被取消成交资格：</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1.4.1提供虚假材料谋取成交的。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1.4.2向采购人或采购代理机构行贿或者评审专家提供其他不正当利益的。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1.4.3恶意竞争，最后报价明显低于其自身合理成本且又无法提供证明的。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1.4.4属于本文件规定的无效条件，但在评审过程中又未被磋商小组发现的。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与评审专家、采购人、</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zh-CN"/>
        </w:rPr>
        <w:t xml:space="preserve">供应商或者采购</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工作人员恶意串通的</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1.4.6采取不正当手段诋毁、排挤其他供应商的。</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1.4.7</w:t>
      </w:r>
      <w:r>
        <w:rPr>
          <w:rFonts w:hint="eastAsia" w:ascii="宋体" w:hAnsi="宋体" w:cs="宋体"/>
          <w:color w:val="auto"/>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1.4.8</w:t>
      </w:r>
      <w:r>
        <w:rPr>
          <w:rFonts w:hint="eastAsia" w:ascii="宋体" w:hAnsi="宋体" w:cs="宋体"/>
          <w:color w:val="auto"/>
          <w:szCs w:val="21"/>
          <w:highlight w:val="none"/>
          <w:lang w:val="zh-CN"/>
        </w:rPr>
        <w:t xml:space="preserve">将政府采购合同转包的。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1.5.有下列情形之一的，视为供应商串通参与磋商，响应无效：</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1.5.1不同供应商的响应文件由同一单位或者个人编制；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1.5.2不同供应商委托同一单位或者个人办理磋商事宜；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1.5.3不同供应商的响应文件载明的项目管理成员或者联系人员为同一人；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1.5.4不同供应商的响应文件异常一致或者响应报价呈规律性差异。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2.质疑处理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2.1提出质疑的供应商应当是参与所质疑项目采购活动的供应商。潜在供应商依法获取其可质疑的磋商文件的，可以对磋商文件提出质疑。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2.2.1对可以质疑的磋商文件提出质疑的，为收到磋商文件之日或者磋商文件公告期限届满之日；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2.2.2对采购过程提出质疑的，为各采购程序环节结束之日；</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2.2.3对成交结果提出质疑的，为成交结果公告期限届满之日。</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供应商应当在法定质疑期内一次性提出针对同一采购程序环节的质疑。</w:t>
      </w:r>
      <w:r>
        <w:rPr>
          <w:rFonts w:hint="eastAsia" w:ascii="宋体" w:hAnsi="宋体" w:cs="宋体"/>
          <w:color w:val="auto"/>
          <w:szCs w:val="21"/>
          <w:highlight w:val="none"/>
          <w:lang w:val="zh-CN"/>
        </w:rPr>
        <w:t xml:space="preserve">供应商如在法定期限内对同一采购程序环节提出多次质疑的，采购人、</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将只对供应商第一次质疑作出答复。</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2.4质疑答复依据《政府采购质疑和投诉办法》（财政部令第94号）。</w:t>
      </w:r>
      <w:r/>
    </w:p>
    <w:p>
      <w:pPr>
        <w:ind w:firstLine="480"/>
        <w:pageBreakBefore w:val="0"/>
        <w:spacing w:line="360" w:lineRule="auto"/>
        <w:rPr>
          <w:color w:val="auto"/>
          <w:szCs w:val="21"/>
          <w:highlight w:val="none"/>
        </w:rPr>
      </w:pPr>
      <w:r>
        <w:rPr>
          <w:rFonts w:hint="eastAsia" w:ascii="宋体" w:hAnsi="宋体" w:cs="宋体"/>
          <w:color w:val="auto"/>
          <w:szCs w:val="21"/>
          <w:highlight w:val="none"/>
        </w:rPr>
        <w:t xml:space="preserve">采购人或采购代理机构质疑接收人及联系方式，见磋商</w:t>
      </w:r>
      <w:r>
        <w:rPr>
          <w:rFonts w:hint="eastAsia"/>
          <w:color w:val="auto"/>
          <w:szCs w:val="21"/>
          <w:highlight w:val="none"/>
        </w:rPr>
        <w:t xml:space="preserve">文件第一部分。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 以下情形的质疑不予受理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2.5.1内容不符合《政府采购质疑和投诉办法》第十二条规定的质疑。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2.5.2超出政府采购法定期限的质疑。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2.5.3未参加磋商活动的供应商或在磋商活动中自身权益未受到损害的供应商所提出的质疑。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2.5.4供应商组成联合体参加磋商，联合体中任何一方或多方未按要求签字、盖章、加盖公章的质疑。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七、成交通知书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特别说明：成交供应商在下载成交通知书后须提供</w:t>
      </w:r>
      <w:r>
        <w:rPr>
          <w:rFonts w:hint="eastAsia" w:ascii="宋体" w:hAnsi="宋体" w:cs="宋体"/>
          <w:b/>
          <w:bCs/>
          <w:color w:val="auto"/>
          <w:szCs w:val="21"/>
          <w:highlight w:val="none"/>
          <w:u w:val="single"/>
        </w:rPr>
        <w:t xml:space="preserve">3套</w:t>
      </w:r>
      <w:r>
        <w:rPr>
          <w:rFonts w:hint="eastAsia" w:ascii="宋体" w:hAnsi="宋体" w:cs="宋体"/>
          <w:b/>
          <w:bCs/>
          <w:color w:val="auto"/>
          <w:szCs w:val="21"/>
          <w:highlight w:val="none"/>
        </w:rPr>
        <w:t xml:space="preserve">加盖</w:t>
      </w:r>
      <w:r>
        <w:rPr>
          <w:rFonts w:hint="eastAsia" w:ascii="宋体" w:hAnsi="宋体" w:cs="宋体"/>
          <w:b/>
          <w:bCs/>
          <w:color w:val="auto"/>
          <w:szCs w:val="21"/>
          <w:highlight w:val="none"/>
          <w:lang w:val="en-US" w:eastAsia="zh-CN"/>
        </w:rPr>
        <w:t xml:space="preserve">公章</w:t>
      </w:r>
      <w:r>
        <w:rPr>
          <w:rFonts w:hint="eastAsia" w:ascii="宋体" w:hAnsi="宋体" w:cs="宋体"/>
          <w:b/>
          <w:bCs/>
          <w:color w:val="auto"/>
          <w:szCs w:val="21"/>
          <w:highlight w:val="none"/>
        </w:rPr>
        <w:t xml:space="preserve">的系统内打印的纸质响应文件给采购代理机构。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八、授予合同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1.签订合同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1.l成交供应商应当在成交通知书发出之日起三十日内，按照磋商文件确定的事项与采购人签订政府采购合同。</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签订合同时需做好提交各类声明函、承诺函、业绩证明、资质、证书等相应原件的核查准备；核查后发现虚假或违背承诺的，依照相关法律法规规定处理。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1.2磋商文件、成交供应商的响应文件及磋商过程中有关澄清、承诺文件均应作为合同附件。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1.3签订合同后，成交供应商不得将合同标的进行转包。未经采购人同意，</w:t>
      </w:r>
      <w:r>
        <w:rPr>
          <w:rFonts w:hint="eastAsia" w:ascii="宋体" w:hAnsi="宋体" w:cs="宋体"/>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货物和服务的追加、减少和添购</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2.2采购结束后，采购人若由于各种客观原因，必须对采购项目所牵涉的货物和服务进行</w:t>
      </w:r>
      <w:r>
        <w:rPr>
          <w:rFonts w:hint="eastAsia" w:ascii="宋体" w:hAnsi="宋体" w:cs="宋体"/>
          <w:color w:val="auto"/>
          <w:szCs w:val="21"/>
          <w:highlight w:val="none"/>
          <w:lang w:eastAsia="zh-CN"/>
        </w:rPr>
        <w:t xml:space="preserve">适当</w:t>
      </w:r>
      <w:r>
        <w:rPr>
          <w:rFonts w:hint="eastAsia" w:ascii="宋体" w:hAnsi="宋体" w:cs="宋体"/>
          <w:color w:val="auto"/>
          <w:szCs w:val="21"/>
          <w:highlight w:val="none"/>
        </w:rPr>
        <w:t xml:space="preserve">减少时，在双方协商一致的前提下，可以按照采购时的价格水平做相应的调减，并据此签订补充合同。</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九、电子招标投标交易平台</w:t>
      </w:r>
      <w:r/>
    </w:p>
    <w:p>
      <w:pPr>
        <w:ind w:firstLine="480"/>
        <w:pageBreakBefore w:val="0"/>
        <w:spacing w:line="360" w:lineRule="auto"/>
        <w:rPr>
          <w:rFonts w:hint="eastAsia" w:ascii="宋体" w:hAnsi="宋体" w:cs="宋体"/>
          <w:color w:val="auto"/>
          <w:szCs w:val="21"/>
          <w:highlight w:val="none"/>
          <w:lang w:eastAsia="en-US"/>
        </w:rPr>
      </w:pPr>
      <w:r>
        <w:rPr>
          <w:rFonts w:hint="eastAsia" w:ascii="宋体" w:hAnsi="宋体" w:cs="宋体"/>
          <w:color w:val="auto"/>
          <w:szCs w:val="21"/>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s="宋体"/>
          <w:color w:val="auto"/>
          <w:szCs w:val="21"/>
          <w:highlight w:val="none"/>
          <w:lang w:eastAsia="en-US"/>
        </w:rPr>
        <w:t xml:space="preserve">http://jszfcg.jsczt.cn/）相关要求是本采购文件的组成部分。</w:t>
      </w:r>
      <w:r>
        <w:rPr>
          <w:rFonts w:hint="eastAsia" w:ascii="宋体" w:hAnsi="宋体" w:cs="宋体"/>
          <w:color w:val="auto"/>
          <w:szCs w:val="21"/>
          <w:highlight w:val="none"/>
          <w:lang w:eastAsia="en-US"/>
        </w:rPr>
        <w:fldChar w:fldCharType="end"/>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十、履约保证金</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vertAlign w:val="baseline"/>
          <w:lang w:val="en-US" w:eastAsia="zh-CN" w:bidi="ar"/>
        </w:rPr>
        <w:suppressLineNumbers w:val="0"/>
      </w:pPr>
      <w:r>
        <w:rPr>
          <w:rFonts w:hint="eastAsia" w:ascii="宋体" w:hAnsi="宋体" w:eastAsia="宋体" w:cs="宋体"/>
          <w:color w:val="auto"/>
          <w:sz w:val="21"/>
          <w:szCs w:val="24"/>
          <w:highlight w:val="none"/>
          <w:vertAlign w:val="baseline"/>
          <w:lang w:val="en-US" w:eastAsia="zh-CN" w:bidi="ar"/>
        </w:rPr>
        <w:t xml:space="preserve">1.履约保证金金额：合同总价的5%；</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vertAlign w:val="baseline"/>
          <w:lang w:val="en-US" w:eastAsia="zh-CN" w:bidi="ar"/>
        </w:rPr>
        <w:suppressLineNumbers w:val="0"/>
      </w:pPr>
      <w:r>
        <w:rPr>
          <w:rFonts w:hint="eastAsia" w:ascii="宋体" w:hAnsi="宋体" w:eastAsia="宋体" w:cs="宋体"/>
          <w:color w:val="auto"/>
          <w:sz w:val="21"/>
          <w:szCs w:val="24"/>
          <w:highlight w:val="none"/>
          <w:vertAlign w:val="baseline"/>
          <w:lang w:val="en-US" w:eastAsia="zh-CN" w:bidi="ar"/>
        </w:rPr>
        <w:t xml:space="preserve">2.履约保证金缴纳时间：成交后签订合同前；</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vertAlign w:val="baseline"/>
          <w:lang w:val="en-US" w:eastAsia="zh-CN" w:bidi="ar"/>
        </w:rPr>
        <w:suppressLineNumbers w:val="0"/>
      </w:pPr>
      <w:r>
        <w:rPr>
          <w:rFonts w:hint="eastAsia" w:ascii="宋体" w:hAnsi="宋体" w:eastAsia="宋体" w:cs="宋体"/>
          <w:color w:val="auto"/>
          <w:sz w:val="21"/>
          <w:szCs w:val="24"/>
          <w:highlight w:val="none"/>
          <w:vertAlign w:val="baseline"/>
          <w:lang w:val="en-US" w:eastAsia="zh-CN" w:bidi="ar"/>
        </w:rPr>
        <w:t xml:space="preserve">3.履约保证金缴纳形式：支票、汇票、本票或者金融机构、担保机构出具的保函、保证保险等非现金形式汇至采购人指定账户。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vertAlign w:val="baseline"/>
          <w:lang w:val="en-US" w:eastAsia="zh-CN" w:bidi="ar"/>
        </w:rPr>
        <w:suppressLineNumbers w:val="0"/>
      </w:pPr>
      <w:r>
        <w:rPr>
          <w:rFonts w:hint="eastAsia" w:ascii="宋体" w:hAnsi="宋体" w:eastAsia="宋体" w:cs="宋体"/>
          <w:color w:val="auto"/>
          <w:sz w:val="21"/>
          <w:szCs w:val="24"/>
          <w:highlight w:val="none"/>
          <w:vertAlign w:val="baseline"/>
          <w:lang w:val="en-US" w:eastAsia="zh-CN" w:bidi="ar"/>
        </w:rPr>
        <w:t xml:space="preserve">4.履约保证金退还时间：</w:t>
      </w:r>
      <w:r>
        <w:rPr>
          <w:rFonts w:hint="eastAsia" w:ascii="宋体" w:hAnsi="宋体" w:cs="宋体"/>
          <w:szCs w:val="21"/>
          <w:highlight w:val="none"/>
          <w:lang w:val="zh-CN"/>
        </w:rPr>
        <w:t xml:space="preserve">自提交之日起至项目验收合格止，</w:t>
      </w:r>
      <w:r>
        <w:rPr>
          <w:rFonts w:hint="eastAsia" w:ascii="宋体" w:hAnsi="宋体" w:cs="宋体"/>
          <w:szCs w:val="21"/>
          <w:highlight w:val="none"/>
        </w:rPr>
        <w:t xml:space="preserve">无息退还</w:t>
      </w:r>
      <w:r>
        <w:rPr>
          <w:rFonts w:hint="eastAsia" w:ascii="宋体" w:hAnsi="宋体" w:cs="宋体"/>
          <w:szCs w:val="21"/>
          <w:highlight w:val="none"/>
          <w:lang w:eastAsia="zh-CN"/>
        </w:rPr>
        <w:t xml:space="preserve">。</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十一、质疑提出和处理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格式请在江苏政府采购网“下载中心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有关质疑资料”下载</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（一）质疑的提出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1.质疑人必须是直接参加本次磋商活动的当事人。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下载磋商文件的供应商应根据第二章“投标供应商须知”中第一条第4款的约定提出；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3.提出质疑时，必须坚持“谁主张，谁举证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4.对本次招标有质疑的，实行实名制，不得进行虚假、恶意质疑。质疑人应在质疑有效期内以书面形式提出《质疑函》（格式请下载），《质疑函》内容应包括质疑事项、主要内容、事实依据、</w:t>
      </w:r>
      <w:r>
        <w:rPr>
          <w:rFonts w:hint="eastAsia" w:ascii="宋体" w:hAnsi="宋体" w:cs="宋体"/>
          <w:color w:val="auto"/>
          <w:szCs w:val="21"/>
          <w:highlight w:val="none"/>
          <w:lang w:eastAsia="zh-CN"/>
        </w:rPr>
        <w:t xml:space="preserve">适用</w:t>
      </w:r>
      <w:r>
        <w:rPr>
          <w:rFonts w:hint="eastAsia" w:ascii="宋体" w:hAnsi="宋体" w:cs="宋体"/>
          <w:color w:val="auto"/>
          <w:szCs w:val="21"/>
          <w:highlight w:val="none"/>
        </w:rPr>
        <w:t xml:space="preserve">法规条款、佐证材料等。同时，质疑人应保证其提出的质疑内容及相关佐证材料的真实性及来源的合法性，并承担相应的法律责任。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对不能提供相关佐证材料的、涉及商业秘密的、非书面形式的、非送达的、匿名的《质疑函》将不予受理。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相关佐证材料要具备客观性、关联性、合法性，无法查实的（如宣传册、媒体报道、猜测、推理等）不能作为佐证材料。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采购单位或采购代理机构不负责搜集相关佐证材料等工作。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（二）《质疑函》的受理和回复</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1.《质疑函》须由质疑人的法定代表人或参加本次磋商被授权人送达采购单位和采购代理机构。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3.对不符合质疑要求的，出具《质疑退回通知书》并提出相关补充材料要求，质疑人未在规定的时间内提供补充佐证材料的，视同放弃质疑。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5.因质疑情况复杂，组织论证或审查时间较长的，采购单位、采购代理机构以书面形式通知质疑人，可适当延长质疑回复处理时间。</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（三）质疑处理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1.质疑成立的处理。采购单位或采购代理机构终止采购，并建议有关部门对相关当事人予以处理。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2.质疑不成立的处理。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1）质疑人书面《申请撤回质疑函》的，不作违约处理。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2）质疑人在规定的时间内不配合进行质疑调查处理的，按自动撤回《质疑函》处理。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3）质疑人不按《质疑函》</w:t>
      </w:r>
      <w:r>
        <w:rPr>
          <w:rFonts w:hint="eastAsia" w:ascii="宋体" w:hAnsi="宋体" w:cs="宋体"/>
          <w:color w:val="auto"/>
          <w:szCs w:val="21"/>
          <w:highlight w:val="none"/>
          <w:lang w:eastAsia="zh-CN"/>
        </w:rPr>
        <w:t xml:space="preserve">格式</w:t>
      </w:r>
      <w:r>
        <w:rPr>
          <w:rFonts w:hint="eastAsia" w:ascii="宋体" w:hAnsi="宋体" w:cs="宋体"/>
          <w:color w:val="auto"/>
          <w:szCs w:val="21"/>
          <w:highlight w:val="none"/>
        </w:rPr>
        <w:t xml:space="preserve">提出质疑的，作违约处理。同时，视情列入不良供应商名单。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4）质疑人虽提供了相关佐证材料，但不能证明其质疑成立的，采购单位或采购代理机构请质疑人补充相关佐证材料，仍不能证明其质疑成立的，作违约处理。并将其列入不良供应商名单。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5）质疑人不能提供相关佐证材料的，采购单位、采购代理机构已指出，质疑人仍然坚持提出质疑的，作违约处理。同时，列入不良供应商名单。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对明显有违事实的、经相关专家或评审小组认定无依据的、经其他供应商举证无依据的质疑，作违约处理，列入不良供应商名单；同时，对其中每一项不成立的质疑给予质疑人1年内禁止参加本区域内的政府采购活动的违约处理，</w:t>
      </w:r>
      <w:r>
        <w:rPr>
          <w:rFonts w:hint="eastAsia" w:ascii="宋体" w:hAnsi="宋体" w:cs="宋体"/>
          <w:color w:val="auto"/>
          <w:szCs w:val="21"/>
          <w:highlight w:val="none"/>
          <w:lang w:eastAsia="zh-CN"/>
        </w:rPr>
        <w:t xml:space="preserve">依此类推</w:t>
      </w:r>
      <w:r>
        <w:rPr>
          <w:rFonts w:hint="eastAsia" w:ascii="宋体" w:hAnsi="宋体" w:cs="宋体"/>
          <w:color w:val="auto"/>
          <w:szCs w:val="21"/>
          <w:highlight w:val="none"/>
        </w:rPr>
        <w:t xml:space="preserve">；视情况在泰州市政府采购网、省、国家级相关媒体予以披露。</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7）质疑人承担使用虚假材料或恶意方式质疑的法律责任。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4.无佐证材料的举报</w:t>
      </w:r>
      <w:r>
        <w:rPr>
          <w:rFonts w:hint="eastAsia" w:ascii="宋体" w:hAnsi="宋体" w:cs="宋体"/>
          <w:color w:val="auto"/>
          <w:szCs w:val="21"/>
          <w:highlight w:val="none"/>
          <w:lang w:eastAsia="zh-CN"/>
        </w:rPr>
        <w:t xml:space="preserve">作</w:t>
      </w:r>
      <w:r>
        <w:rPr>
          <w:rFonts w:hint="eastAsia" w:ascii="宋体" w:hAnsi="宋体" w:cs="宋体"/>
          <w:color w:val="auto"/>
          <w:szCs w:val="21"/>
          <w:highlight w:val="none"/>
        </w:rPr>
        <w:t xml:space="preserve">违约处理。供应商不得进行不提供相关佐证材料（含无法查实的如宣传册、媒体报道、猜测、推理等）向有关部门的举报，否则作违约处理。同时对其在1至3年内禁止参加由采购单位组织的政府采购活动的违约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5.投诉不成立的作违约处理。供应商进行质疑后，采购单位回复质疑不成立，供应商仍进行投诉的，并最终投诉不成立的，</w:t>
      </w:r>
      <w:r>
        <w:rPr>
          <w:rFonts w:hint="eastAsia" w:ascii="宋体" w:hAnsi="宋体" w:cs="宋体"/>
          <w:color w:val="auto"/>
          <w:szCs w:val="21"/>
          <w:highlight w:val="none"/>
          <w:lang w:eastAsia="zh-CN"/>
        </w:rPr>
        <w:t xml:space="preserve">作</w:t>
      </w:r>
      <w:r>
        <w:rPr>
          <w:rFonts w:hint="eastAsia" w:ascii="宋体" w:hAnsi="宋体" w:cs="宋体"/>
          <w:color w:val="auto"/>
          <w:szCs w:val="21"/>
          <w:highlight w:val="none"/>
        </w:rPr>
        <w:t xml:space="preserve">违约处理。采购单位有权对其在1至3年内禁止参加由采购单位组织的政府采购活动的违约处理。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6.《质疑函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质疑回复函》，质疑、举报、投诉不成立等相关情况，视情在泰州市政府采购网、省、国家级等相关媒体予以披露。并建议相关政府采购机构对该供应商同步实施1至3年内禁入。</w:t>
      </w:r>
      <w:r/>
    </w:p>
    <w:p>
      <w:pPr>
        <w:ind w:firstLine="480"/>
        <w:pageBreakBefore w:val="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7.质疑供应商对采购单位或代理机构的答复不满意或者采购单位或代理机构未在规定的时间内作出答复的，可以在答复期满后15个工作日内向政府采购监督管理部门投诉。</w:t>
      </w:r>
      <w:r/>
    </w:p>
    <w:p>
      <w:pP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十二、其他事项说明：</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采购项目需要落实的政府采购相关法律法规及政策：</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1.《中华人民共和国政府采购法》</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2.《中华人民共和国政府采购法实施条例》</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3.《政府采购竞争性磋商采购方式管理办法》</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4.政府采购促进中小企业发展办法的通知</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财库〔2020〕46号 </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.《江苏省财政厅关于进一步加大政府采购支持中小企业力度的通知》苏财购〔2022〕45号</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.根据《江苏省财政厅关于加强政府绿色采购有关事项的通知》（苏财购〔2023〕65号）文件精神，严格落实政府绿色采购的各项要求。</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.节能环保</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本项目中如有涉及节能环保产品要求的，应当按《财政部、发展改革委、生态环境部、市场监管总局关于调整优化节能产品、环境标志产品政府采购执行机制的通知》</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财库〔2019〕9号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文件执行。</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8</w:t>
      </w:r>
      <w:r>
        <w:rPr>
          <w:rFonts w:hint="eastAsia" w:ascii="宋体" w:hAnsi="宋体" w:cs="宋体"/>
          <w:color w:val="auto"/>
          <w:highlight w:val="none"/>
          <w:lang w:bidi="ar"/>
        </w:rPr>
        <w:t xml:space="preserve">.需求标准</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本项目中如有涉及商品包装、快递包装的，应当按《关于印发〈商品包装政府采购需求标准（试行）〉、〈快递包装政府采购需求标准（试行）〉的通知》（财办库〔2020〕123号）文件执行。</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本项目中如有涉及采购数据中心相关设备、运维服务的，应当按《关于印发〈绿色数据中心政府采购需求标准（试行）〉的通知》（财办库〔2023〕7号）文件执行。</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9</w:t>
      </w:r>
      <w:r>
        <w:rPr>
          <w:rFonts w:hint="eastAsia" w:ascii="宋体" w:hAnsi="宋体" w:cs="宋体"/>
          <w:color w:val="auto"/>
          <w:highlight w:val="none"/>
          <w:lang w:bidi="ar"/>
        </w:rPr>
        <w:t xml:space="preserve">.</w:t>
      </w:r>
      <w:r>
        <w:rPr>
          <w:rFonts w:ascii="宋体" w:hAnsi="宋体" w:cs="宋体"/>
          <w:color w:val="auto"/>
          <w:highlight w:val="none"/>
          <w:lang w:bidi="ar"/>
        </w:rPr>
        <w:t xml:space="preserve">中标、成交供应商可以采用电子履约保函形式</w:t>
      </w:r>
      <w:r>
        <w:rPr>
          <w:rFonts w:hint="eastAsia" w:ascii="宋体" w:hAnsi="宋体" w:cs="宋体"/>
          <w:color w:val="auto"/>
          <w:highlight w:val="none"/>
          <w:lang w:bidi="ar"/>
        </w:rPr>
        <w:t xml:space="preserve">代替缴纳履约保证金</w:t>
      </w:r>
      <w:r>
        <w:rPr>
          <w:rFonts w:ascii="宋体" w:hAnsi="宋体" w:cs="宋体"/>
          <w:color w:val="auto"/>
          <w:highlight w:val="none"/>
          <w:lang w:bidi="ar"/>
        </w:rPr>
        <w:t xml:space="preserve">，具体可登录江苏政府采购网的保险保</w:t>
      </w:r>
      <w:r>
        <w:rPr>
          <w:rFonts w:hint="eastAsia" w:ascii="宋体" w:hAnsi="宋体" w:cs="宋体"/>
          <w:color w:val="auto"/>
          <w:highlight w:val="none"/>
          <w:lang w:bidi="ar"/>
        </w:rPr>
        <w:t xml:space="preserve">函模块进行办理。</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10</w:t>
      </w:r>
      <w:r>
        <w:rPr>
          <w:rFonts w:hint="eastAsia" w:ascii="宋体" w:hAnsi="宋体" w:cs="宋体"/>
          <w:color w:val="auto"/>
          <w:highlight w:val="none"/>
          <w:lang w:bidi="ar"/>
        </w:rPr>
        <w:t xml:space="preserve">.中标、成交供应商</w:t>
      </w:r>
      <w:r>
        <w:rPr>
          <w:rFonts w:hint="eastAsia" w:ascii="宋体" w:hAnsi="宋体" w:cs="宋体"/>
          <w:color w:val="auto"/>
          <w:highlight w:val="none"/>
          <w:lang w:bidi="ar"/>
        </w:rPr>
        <w:t xml:space="preserve">可凭政府采购合同办理融资贷款，详情请见泰州市政府采购网“政采贷”专栏。</w:t>
      </w:r>
      <w:r/>
    </w:p>
    <w:p>
      <w:pPr>
        <w:ind w:firstLine="420"/>
        <w:pageBreakBefore w:val="0"/>
        <w:spacing w:line="360" w:lineRule="auto"/>
        <w:rPr>
          <w:rFonts w:hint="default" w:ascii="宋体" w:hAnsi="宋体" w:cs="宋体"/>
          <w:color w:val="auto"/>
          <w:highlight w:val="none"/>
          <w:lang w:val="en-US" w:eastAsia="zh-CN" w:bidi="ar"/>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highlight w:val="none"/>
          <w:lang w:val="en-US" w:eastAsia="zh-CN" w:bidi="ar"/>
        </w:rPr>
        <w:t xml:space="preserve">11.《国务院办公厅关于在政府采购中实施本国产品标准及相关政策的通知》（国办发〔2025〕34号）和《关于贯彻落实〈国务院办公厅关于在政府采购中实施本国产品标准及相关政策的通知〉的意见》（财库〔2025〕30号）。</w:t>
      </w:r>
      <w:bookmarkEnd w:id="34"/>
      <w:r/>
      <w:bookmarkEnd w:id="35"/>
      <w:r/>
      <w:bookmarkEnd w:id="36"/>
      <w:r/>
      <w:r/>
    </w:p>
    <w:p>
      <w:pPr>
        <w:pStyle w:val="1180"/>
        <w:numPr>
          <w:ilvl w:val="0"/>
          <w:numId w:val="2"/>
        </w:numPr>
        <w:ind w:firstLine="422"/>
        <w:jc w:val="center"/>
        <w:pageBreakBefore w:val="0"/>
        <w:spacing w:line="360" w:lineRule="auto"/>
        <w:rPr>
          <w:rFonts w:hint="eastAsia" w:ascii="宋体" w:hAnsi="宋体" w:eastAsia="宋体"/>
          <w:b/>
          <w:color w:val="auto"/>
          <w:sz w:val="21"/>
          <w:szCs w:val="21"/>
          <w:highlight w:val="none"/>
        </w:rPr>
      </w:pPr>
      <w:r/>
      <w:bookmarkStart w:id="87" w:name="_Toc86268901"/>
      <w:r>
        <w:rPr>
          <w:rFonts w:hint="eastAsia" w:ascii="宋体" w:hAnsi="宋体" w:eastAsia="宋体"/>
          <w:b/>
          <w:color w:val="auto"/>
          <w:sz w:val="21"/>
          <w:szCs w:val="21"/>
          <w:highlight w:val="none"/>
          <w:lang w:val="en-US" w:eastAsia="zh-CN"/>
        </w:rPr>
        <w:t xml:space="preserve"> </w:t>
      </w:r>
      <w:r>
        <w:rPr>
          <w:rFonts w:hint="eastAsia" w:ascii="宋体" w:hAnsi="宋体" w:eastAsia="宋体"/>
          <w:b/>
          <w:color w:val="auto"/>
          <w:sz w:val="21"/>
          <w:szCs w:val="21"/>
          <w:highlight w:val="none"/>
        </w:rPr>
        <w:t xml:space="preserve">合同条款及格式</w:t>
      </w:r>
      <w:bookmarkEnd w:id="87"/>
      <w:r/>
      <w:r/>
    </w:p>
    <w:p>
      <w:pPr>
        <w:pStyle w:val="1203"/>
        <w:ind w:left="0"/>
        <w:jc w:val="center"/>
        <w:pageBreakBefore w:val="0"/>
        <w:spacing w:line="360" w:lineRule="auto"/>
        <w:tabs>
          <w:tab w:val="left" w:pos="1050" w:leader="none"/>
          <w:tab w:val="right" w:pos="9402" w:leader="dot"/>
        </w:tabs>
        <w:rPr>
          <w:rFonts w:hint="eastAsia" w:ascii="宋体" w:hAnsi="宋体" w:cs="宋体"/>
          <w:b/>
          <w:iCs/>
          <w:color w:val="auto"/>
          <w:szCs w:val="21"/>
          <w:highlight w:val="none"/>
        </w:rPr>
        <w:outlineLvl w:val="0"/>
      </w:pPr>
      <w:r>
        <w:rPr>
          <w:rFonts w:hint="eastAsia" w:ascii="宋体" w:hAnsi="宋体" w:cs="宋体"/>
          <w:b/>
          <w:iCs/>
          <w:color w:val="auto"/>
          <w:szCs w:val="21"/>
          <w:highlight w:val="none"/>
        </w:rPr>
        <w:t xml:space="preserve"> 合同授予</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一、成交供应商在《成交通知书》</w:t>
      </w:r>
      <w:r>
        <w:rPr>
          <w:rFonts w:hint="eastAsia" w:ascii="宋体" w:hAnsi="宋体" w:cs="宋体"/>
          <w:bCs/>
          <w:color w:val="auto"/>
          <w:szCs w:val="21"/>
          <w:highlight w:val="none"/>
        </w:rPr>
        <w:t xml:space="preserve">发出后30日</w:t>
      </w:r>
      <w:r>
        <w:rPr>
          <w:rFonts w:hint="eastAsia" w:ascii="宋体" w:hAnsi="宋体" w:cs="宋体"/>
          <w:color w:val="auto"/>
          <w:szCs w:val="21"/>
          <w:highlight w:val="none"/>
        </w:rPr>
        <w:t xml:space="preserve">内须按照磋商文件确定的事项签订采购合同。合同一式</w:t>
      </w:r>
      <w:r>
        <w:rPr>
          <w:rFonts w:hint="eastAsia" w:ascii="宋体" w:hAnsi="宋体" w:cs="宋体"/>
          <w:color w:val="auto"/>
          <w:szCs w:val="21"/>
          <w:highlight w:val="none"/>
          <w:lang w:eastAsia="zh-CN"/>
        </w:rPr>
        <w:t xml:space="preserve">四</w:t>
      </w:r>
      <w:r>
        <w:rPr>
          <w:rFonts w:hint="eastAsia" w:ascii="宋体" w:hAnsi="宋体" w:cs="宋体"/>
          <w:color w:val="auto"/>
          <w:szCs w:val="21"/>
          <w:highlight w:val="none"/>
        </w:rPr>
        <w:t xml:space="preserve">份，采购单位</w:t>
      </w:r>
      <w:r>
        <w:rPr>
          <w:rFonts w:hint="eastAsia" w:ascii="宋体" w:hAnsi="宋体" w:cs="宋体"/>
          <w:color w:val="auto"/>
          <w:szCs w:val="21"/>
          <w:highlight w:val="none"/>
          <w:lang w:eastAsia="zh-CN"/>
        </w:rPr>
        <w:t xml:space="preserve">两</w:t>
      </w:r>
      <w:r>
        <w:rPr>
          <w:rFonts w:hint="eastAsia" w:ascii="宋体" w:hAnsi="宋体" w:cs="宋体"/>
          <w:color w:val="auto"/>
          <w:szCs w:val="21"/>
          <w:highlight w:val="none"/>
        </w:rPr>
        <w:t xml:space="preserve">份、供应商两份。所签合同不得对磋商文件作实质性修改。采购单位不得向成交供应商提出不合理的要求作为签订合同的条件，不得与成交供应商私下订立背离磋商文件实质性内容的协议。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五、按政府采购合同约定支付的合同款，实行财政国库直接支付。</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六、不响应付款方式的，视同响应文件无效，按无效响应文件处理。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七、付款方式详见磋商文件第四章。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八、项目款的支付不计息。</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Style w:val="1204"/>
        <w:jc w:val="center"/>
        <w:pageBreakBefore w:val="0"/>
        <w:spacing w:before="0" w:after="0" w:line="360" w:lineRule="auto"/>
        <w:rPr>
          <w:rFonts w:hint="eastAsia" w:ascii="宋体" w:hAnsi="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bookmarkStart w:id="88" w:name="_Toc498006744"/>
      <w:r/>
      <w:bookmarkStart w:id="89" w:name="_Toc87985472"/>
      <w:r/>
      <w:r/>
    </w:p>
    <w:p>
      <w:pPr>
        <w:pStyle w:val="1192"/>
        <w:jc w:val="center"/>
        <w:pageBreakBefore w:val="0"/>
        <w:spacing w:before="0" w:after="0" w:line="360" w:lineRule="auto"/>
        <w:rPr>
          <w:highlight w:val="none"/>
        </w:rPr>
      </w:pPr>
      <w:r/>
      <w:bookmarkStart w:id="90" w:name="_Toc86268902"/>
      <w:r>
        <w:rPr>
          <w:rFonts w:hint="eastAsia" w:ascii="宋体" w:hAnsi="宋体"/>
          <w:sz w:val="21"/>
          <w:szCs w:val="21"/>
          <w:highlight w:val="none"/>
        </w:rPr>
        <w:t xml:space="preserve">（参考文本）</w:t>
      </w:r>
      <w:r/>
    </w:p>
    <w:p>
      <w:pPr>
        <w:jc w:val="center"/>
        <w:pageBreakBefore w:val="0"/>
        <w:spacing w:line="360" w:lineRule="auto"/>
        <w:rPr>
          <w:rFonts w:ascii="宋体" w:hAnsi="宋体"/>
          <w:b/>
          <w:bCs/>
          <w:szCs w:val="21"/>
          <w:highlight w:val="none"/>
        </w:rPr>
      </w:pPr>
      <w:r>
        <w:rPr>
          <w:rFonts w:ascii="宋体" w:hAnsi="宋体"/>
          <w:b/>
          <w:bCs/>
          <w:szCs w:val="21"/>
          <w:highlight w:val="none"/>
        </w:rPr>
        <w:t xml:space="preserve">合同条款表</w:t>
      </w:r>
      <w:r/>
    </w:p>
    <w:tbl>
      <w:tblPr>
        <w:tblStyle w:val="1184"/>
        <w:tblpPr w:horzAnchor="page" w:tblpX="1899" w:vertAnchor="text" w:tblpY="398" w:leftFromText="180" w:topFromText="0" w:rightFromText="180" w:bottomFromText="0"/>
        <w:tblW w:w="80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7337"/>
      </w:tblGrid>
      <w:tr>
        <w:trPr>
          <w:trHeight w:val="604"/>
          <w:tblHeader/>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7337"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内             容</w:t>
            </w:r>
            <w:r/>
          </w:p>
        </w:tc>
      </w:tr>
      <w:tr>
        <w:trPr>
          <w:trHeight w:val="930"/>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7337"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买方名称：</w:t>
            </w:r>
            <w:r>
              <w:rPr>
                <w:rFonts w:hint="eastAsia" w:ascii="宋体" w:hAnsi="宋体" w:cs="宋体"/>
                <w:szCs w:val="21"/>
                <w:highlight w:val="none"/>
                <w:lang w:eastAsia="zh-CN"/>
              </w:rPr>
              <w:t xml:space="preserve">泰州医药高新技术产业开发区（泰州市高港区）医药产业园管理办公室 </w:t>
            </w:r>
            <w:r>
              <w:rPr>
                <w:rFonts w:hint="eastAsia" w:ascii="宋体" w:hAnsi="宋体" w:cs="宋体"/>
                <w:szCs w:val="21"/>
                <w:highlight w:val="none"/>
              </w:rPr>
              <w:t xml:space="preserve">（签订合同前称招标人）</w:t>
            </w:r>
            <w:r/>
          </w:p>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卖方名称：与买方签订合同协议书的当事人</w:t>
            </w:r>
            <w:r/>
          </w:p>
        </w:tc>
      </w:tr>
      <w:tr>
        <w:trPr>
          <w:trHeight w:val="1234"/>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7337"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履约保证金金额：</w:t>
            </w:r>
            <w:r>
              <w:rPr>
                <w:rFonts w:hint="eastAsia" w:ascii="宋体" w:hAnsi="宋体"/>
                <w:szCs w:val="21"/>
                <w:highlight w:val="none"/>
              </w:rPr>
              <w:t xml:space="preserve">合同签订前汇入合同总价5%的履约保证金至招标人指定账户</w:t>
            </w:r>
            <w:r/>
          </w:p>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币种：人民币</w:t>
            </w:r>
            <w:r/>
          </w:p>
          <w:p>
            <w:pPr>
              <w:ind w:right="-11"/>
              <w:pageBreakBefore w:val="0"/>
              <w:spacing w:line="360" w:lineRule="auto"/>
              <w:rPr>
                <w:rFonts w:hint="eastAsia" w:ascii="宋体" w:hAnsi="宋体"/>
                <w:bCs/>
                <w:szCs w:val="21"/>
                <w:highlight w:val="none"/>
              </w:rPr>
            </w:pPr>
            <w:r>
              <w:rPr>
                <w:rFonts w:hint="eastAsia" w:ascii="宋体" w:hAnsi="宋体"/>
                <w:bCs/>
                <w:szCs w:val="21"/>
                <w:highlight w:val="none"/>
              </w:rPr>
              <w:t xml:space="preserve">履约保证金形式：以</w:t>
            </w:r>
            <w:r>
              <w:rPr>
                <w:rFonts w:hint="eastAsia" w:ascii="宋体" w:hAnsi="宋体"/>
                <w:bCs/>
                <w:szCs w:val="21"/>
                <w:highlight w:val="none"/>
                <w:u w:val="single"/>
              </w:rPr>
              <w:t xml:space="preserve">         </w:t>
            </w:r>
            <w:r>
              <w:rPr>
                <w:rFonts w:hint="eastAsia" w:ascii="宋体" w:hAnsi="宋体"/>
                <w:bCs/>
                <w:szCs w:val="21"/>
                <w:highlight w:val="none"/>
              </w:rPr>
              <w:t xml:space="preserve">（支票、汇票、本票或者金融机构、担保机构出具的保函、保证保险、电子履约保函等非现金）形式提交；</w:t>
            </w:r>
            <w:r/>
          </w:p>
          <w:p>
            <w:pPr>
              <w:ind w:right="-11"/>
              <w:pageBreakBefore w:val="0"/>
              <w:spacing w:line="360" w:lineRule="auto"/>
              <w:rPr>
                <w:rFonts w:hint="eastAsia" w:ascii="宋体" w:hAnsi="宋体"/>
                <w:bCs/>
                <w:szCs w:val="21"/>
                <w:highlight w:val="none"/>
              </w:rPr>
            </w:pPr>
            <w:r>
              <w:rPr>
                <w:rFonts w:hint="eastAsia" w:ascii="宋体" w:hAnsi="宋体"/>
                <w:b/>
                <w:bCs w:val="0"/>
                <w:szCs w:val="21"/>
                <w:highlight w:val="none"/>
                <w:lang w:val="en-US" w:eastAsia="zh-CN"/>
              </w:rPr>
              <w:t xml:space="preserve">电子履约保函和履约保证金、纸质保函具有同等法律效力。若供应商以电子履约保函（保险）形式递交的，可登录江苏政府采购网下载”政府采购电子履约保函（保险）操作手册”。平台技术服务公司联系电话：025-52817676，电子履约保函（保险）平台服务电话：400-680-0040。</w:t>
            </w:r>
            <w:r/>
          </w:p>
          <w:p>
            <w:pPr>
              <w:ind w:right="-11"/>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履约保证金有效期：</w:t>
            </w:r>
            <w:r>
              <w:rPr>
                <w:rFonts w:hint="eastAsia" w:ascii="宋体" w:hAnsi="宋体" w:cs="宋体"/>
                <w:szCs w:val="21"/>
                <w:highlight w:val="none"/>
                <w:lang w:val="zh-CN"/>
              </w:rPr>
              <w:t xml:space="preserve">自提交之日起至项目验收合格止，</w:t>
            </w:r>
            <w:r>
              <w:rPr>
                <w:rFonts w:hint="eastAsia" w:ascii="宋体" w:hAnsi="宋体" w:cs="宋体"/>
                <w:szCs w:val="21"/>
                <w:highlight w:val="none"/>
              </w:rPr>
              <w:t xml:space="preserve">无息退还。</w:t>
            </w:r>
            <w:r/>
          </w:p>
          <w:p>
            <w:pPr>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政府采购履约资金扶持政策</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成交供应商可凭政府采购合同办理融资贷款，详情请见江苏政府采购网“政采贷”专栏。</w:t>
            </w:r>
            <w:r/>
          </w:p>
        </w:tc>
      </w:tr>
      <w:tr>
        <w:trPr>
          <w:trHeight w:val="466"/>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7337" w:type="dxa"/>
            <w:vAlign w:val="center"/>
            <w:textDirection w:val="lrTb"/>
            <w:noWrap w:val="false"/>
          </w:tcPr>
          <w:p>
            <w:pP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合同履行期限</w:t>
            </w:r>
            <w:r>
              <w:rPr>
                <w:rFonts w:hint="eastAsia" w:ascii="宋体" w:hAnsi="宋体" w:cs="宋体"/>
                <w:szCs w:val="21"/>
                <w:highlight w:val="none"/>
              </w:rPr>
              <w:t xml:space="preserve">：</w:t>
            </w:r>
            <w:r>
              <w:rPr>
                <w:rFonts w:hint="eastAsia" w:ascii="宋体" w:hAnsi="宋体" w:cs="宋体"/>
                <w:szCs w:val="21"/>
                <w:highlight w:val="none"/>
              </w:rPr>
              <w:t xml:space="preserve">合同签订后</w:t>
            </w:r>
            <w:r>
              <w:rPr>
                <w:rFonts w:hint="eastAsia" w:ascii="宋体" w:hAnsi="宋体" w:cs="宋体"/>
                <w:szCs w:val="21"/>
                <w:highlight w:val="none"/>
                <w:lang w:val="en-US" w:eastAsia="zh-CN"/>
              </w:rPr>
              <w:t xml:space="preserve">60天</w:t>
            </w:r>
            <w:r>
              <w:rPr>
                <w:rFonts w:hint="eastAsia" w:ascii="宋体" w:hAnsi="宋体" w:cs="宋体"/>
                <w:szCs w:val="21"/>
                <w:highlight w:val="none"/>
              </w:rPr>
              <w:t xml:space="preserve">内完成供货。</w:t>
            </w:r>
            <w:r/>
          </w:p>
        </w:tc>
      </w:tr>
      <w:tr>
        <w:trPr>
          <w:trHeight w:val="764"/>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7337"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卖方应提供的服务：免费咨询、免费培训等卖方提供的所有服务已包括在投标报价中。</w:t>
            </w:r>
            <w:r/>
          </w:p>
        </w:tc>
      </w:tr>
      <w:tr>
        <w:trPr>
          <w:trHeight w:val="585"/>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7337"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要求的备品备件有：</w:t>
            </w:r>
            <w:r>
              <w:rPr>
                <w:rFonts w:hint="eastAsia" w:ascii="宋体" w:hAnsi="宋体"/>
                <w:szCs w:val="21"/>
                <w:highlight w:val="none"/>
              </w:rPr>
              <w:t xml:space="preserve">所有产品安装所需人工、辅材等包含在产品报价中。</w:t>
            </w:r>
            <w:r/>
          </w:p>
        </w:tc>
      </w:tr>
      <w:tr>
        <w:trPr>
          <w:trHeight w:val="838"/>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bookmarkStart w:id="91" w:name="_Hlk513629757"/>
            <w:r>
              <w:rPr>
                <w:rFonts w:hint="eastAsia" w:ascii="宋体" w:hAnsi="宋体" w:cs="宋体"/>
                <w:szCs w:val="21"/>
                <w:highlight w:val="none"/>
              </w:rPr>
              <w:t xml:space="preserve">6</w:t>
            </w:r>
            <w:r/>
          </w:p>
        </w:tc>
        <w:tc>
          <w:tcPr>
            <w:tcW w:w="7337" w:type="dxa"/>
            <w:vAlign w:val="center"/>
            <w:textDirection w:val="lrTb"/>
            <w:noWrap w:val="false"/>
          </w:tcPr>
          <w:p>
            <w:pPr>
              <w:pageBreakBefore w:val="0"/>
              <w:spacing w:line="360" w:lineRule="auto"/>
              <w:rPr>
                <w:rFonts w:ascii="宋体" w:hAnsi="宋体"/>
                <w:szCs w:val="21"/>
                <w:highlight w:val="none"/>
              </w:rPr>
            </w:pPr>
            <w:r>
              <w:rPr>
                <w:rFonts w:hint="eastAsia" w:ascii="宋体" w:hAnsi="宋体"/>
                <w:szCs w:val="21"/>
                <w:highlight w:val="none"/>
              </w:rPr>
              <w:t xml:space="preserve">质</w:t>
            </w:r>
            <w:r>
              <w:rPr>
                <w:rFonts w:ascii="宋体" w:hAnsi="宋体"/>
                <w:szCs w:val="21"/>
                <w:highlight w:val="none"/>
              </w:rPr>
              <w:t xml:space="preserve">保期</w:t>
            </w:r>
            <w:r>
              <w:rPr>
                <w:rFonts w:hint="eastAsia" w:cs="宋体" w:asciiTheme="minorEastAsia" w:hAnsiTheme="minorEastAsia" w:eastAsiaTheme="minorEastAsia"/>
                <w:szCs w:val="21"/>
                <w:highlight w:val="none"/>
              </w:rPr>
              <w:t xml:space="preserve">（自验收合格之日起开始计算）</w:t>
            </w:r>
            <w:r>
              <w:rPr>
                <w:rFonts w:ascii="宋体" w:hAnsi="宋体"/>
                <w:szCs w:val="21"/>
                <w:highlight w:val="none"/>
              </w:rPr>
              <w:t xml:space="preserve">：</w:t>
            </w:r>
            <w:r>
              <w:rPr>
                <w:rFonts w:hint="eastAsia" w:ascii="宋体" w:hAnsi="宋体"/>
                <w:szCs w:val="21"/>
                <w:highlight w:val="none"/>
              </w:rPr>
              <w:t xml:space="preserve">消防器材质保期不低于</w:t>
            </w:r>
            <w:r>
              <w:rPr>
                <w:rFonts w:ascii="宋体" w:hAnsi="宋体"/>
                <w:szCs w:val="21"/>
                <w:highlight w:val="none"/>
              </w:rPr>
              <w:t xml:space="preserve">3</w:t>
            </w:r>
            <w:r>
              <w:rPr>
                <w:rFonts w:hint="eastAsia" w:ascii="宋体" w:hAnsi="宋体"/>
                <w:szCs w:val="21"/>
                <w:highlight w:val="none"/>
              </w:rPr>
              <w:t xml:space="preserve">年</w:t>
            </w:r>
            <w:r>
              <w:rPr>
                <w:rFonts w:hint="eastAsia" w:cs="宋体" w:asciiTheme="minorEastAsia" w:hAnsiTheme="minorEastAsia" w:eastAsiaTheme="minorEastAsia"/>
                <w:szCs w:val="21"/>
                <w:highlight w:val="none"/>
              </w:rPr>
              <w:t xml:space="preserve">，</w:t>
            </w:r>
            <w:r>
              <w:rPr>
                <w:rFonts w:hint="eastAsia" w:ascii="宋体" w:hAnsi="宋体"/>
                <w:szCs w:val="21"/>
                <w:highlight w:val="none"/>
              </w:rPr>
              <w:t xml:space="preserve">合同履行期届满。</w:t>
            </w:r>
            <w:bookmarkEnd w:id="91"/>
            <w:r/>
            <w:r/>
          </w:p>
        </w:tc>
      </w:tr>
      <w:tr>
        <w:trPr>
          <w:trHeight w:val="884"/>
        </w:trPr>
        <w:tc>
          <w:tcPr>
            <w:tcW w:w="709"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7</w:t>
            </w:r>
            <w:r/>
          </w:p>
        </w:tc>
        <w:tc>
          <w:tcPr>
            <w:tcW w:w="7337" w:type="dxa"/>
            <w:vAlign w:val="center"/>
            <w:textDirection w:val="lrTb"/>
            <w:noWrap w:val="false"/>
          </w:tcPr>
          <w:p>
            <w:pPr>
              <w:pageBreakBefore w:val="0"/>
              <w:spacing w:line="360" w:lineRule="auto"/>
              <w:widowControl/>
              <w:rPr>
                <w:rFonts w:ascii="宋体" w:hAnsi="宋体" w:cs="宋体"/>
                <w:szCs w:val="21"/>
                <w:highlight w:val="none"/>
              </w:rPr>
            </w:pPr>
            <w:r>
              <w:rPr>
                <w:rFonts w:hint="eastAsia" w:ascii="宋体" w:hAnsi="宋体"/>
                <w:szCs w:val="21"/>
                <w:highlight w:val="none"/>
              </w:rPr>
              <w:t xml:space="preserve">付款方式：</w:t>
            </w:r>
            <w:r>
              <w:rPr>
                <w:rFonts w:hint="eastAsia" w:ascii="宋体" w:hAnsi="宋体"/>
                <w:szCs w:val="21"/>
                <w:highlight w:val="none"/>
                <w:lang w:val="en-US" w:eastAsia="zh-CN"/>
              </w:rPr>
              <w:t xml:space="preserve">合同签订后，一个月内支付合同价的30%；</w:t>
            </w:r>
            <w:r>
              <w:rPr>
                <w:rFonts w:hint="eastAsia" w:ascii="宋体" w:hAnsi="宋体"/>
                <w:szCs w:val="21"/>
                <w:highlight w:val="none"/>
                <w:lang w:eastAsia="zh-CN"/>
              </w:rPr>
              <w:t xml:space="preserve">供应商在交付货物后向采购人提出</w:t>
            </w:r>
            <w:r>
              <w:rPr>
                <w:rFonts w:hint="eastAsia" w:ascii="宋体" w:hAnsi="宋体"/>
                <w:szCs w:val="21"/>
                <w:highlight w:val="none"/>
                <w:lang w:val="en-US" w:eastAsia="zh-CN"/>
              </w:rPr>
              <w:t xml:space="preserve">验收申请</w:t>
            </w:r>
            <w:r>
              <w:rPr>
                <w:rFonts w:hint="eastAsia" w:ascii="宋体" w:hAnsi="宋体"/>
                <w:szCs w:val="21"/>
                <w:highlight w:val="none"/>
                <w:lang w:eastAsia="zh-CN"/>
              </w:rPr>
              <w:t xml:space="preserve">，产品</w:t>
            </w:r>
            <w:r>
              <w:rPr>
                <w:rFonts w:hint="eastAsia" w:ascii="宋体" w:hAnsi="宋体"/>
                <w:szCs w:val="21"/>
                <w:highlight w:val="none"/>
                <w:lang w:val="en-US" w:eastAsia="zh-CN"/>
              </w:rPr>
              <w:t xml:space="preserve">验收</w:t>
            </w:r>
            <w:r>
              <w:rPr>
                <w:rFonts w:hint="eastAsia" w:ascii="宋体" w:hAnsi="宋体"/>
                <w:szCs w:val="21"/>
                <w:highlight w:val="none"/>
                <w:lang w:eastAsia="zh-CN"/>
              </w:rPr>
              <w:t xml:space="preserve">合格后，支付</w:t>
            </w:r>
            <w:r>
              <w:rPr>
                <w:rFonts w:hint="eastAsia" w:ascii="宋体" w:hAnsi="宋体"/>
                <w:szCs w:val="21"/>
                <w:highlight w:val="none"/>
                <w:lang w:val="en-US" w:eastAsia="zh-CN"/>
              </w:rPr>
              <w:t xml:space="preserve">至</w:t>
            </w:r>
            <w:r>
              <w:rPr>
                <w:rFonts w:hint="eastAsia" w:ascii="宋体" w:hAnsi="宋体"/>
                <w:szCs w:val="21"/>
                <w:highlight w:val="none"/>
                <w:lang w:eastAsia="zh-CN"/>
              </w:rPr>
              <w:t xml:space="preserve">合同总金额的95%；合同履行期满后一个月内支付余款（以上不计利息）。</w:t>
            </w:r>
            <w:r/>
          </w:p>
        </w:tc>
      </w:tr>
      <w:tr>
        <w:trPr>
          <w:trHeight w:val="517"/>
        </w:trPr>
        <w:tc>
          <w:tcPr>
            <w:tcW w:w="709"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7337"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合同价</w:t>
            </w:r>
            <w:r>
              <w:rPr>
                <w:rFonts w:hint="eastAsia" w:ascii="宋体" w:hAnsi="宋体" w:cs="宋体"/>
                <w:szCs w:val="21"/>
                <w:highlight w:val="none"/>
                <w:lang w:val="en-US" w:eastAsia="zh-CN"/>
              </w:rPr>
              <w:t xml:space="preserve">格</w:t>
            </w:r>
            <w:r>
              <w:rPr>
                <w:rFonts w:hint="eastAsia" w:ascii="宋体" w:hAnsi="宋体" w:cs="宋体"/>
                <w:szCs w:val="21"/>
                <w:highlight w:val="none"/>
              </w:rPr>
              <w:t xml:space="preserve">和分项价格：固定不变。</w:t>
            </w:r>
            <w:r/>
          </w:p>
        </w:tc>
      </w:tr>
      <w:tr>
        <w:trPr>
          <w:trHeight w:val="517"/>
        </w:trPr>
        <w:tc>
          <w:tcPr>
            <w:tcW w:w="709"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7337"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szCs w:val="21"/>
                <w:highlight w:val="none"/>
              </w:rPr>
              <w:t xml:space="preserve">中标人不得私自将本项目转包给第三方，否则将作违约处理，招标人有权撤销合同</w:t>
            </w:r>
            <w:r>
              <w:rPr>
                <w:rFonts w:hint="eastAsia" w:ascii="宋体" w:hAnsi="宋体"/>
                <w:szCs w:val="21"/>
                <w:highlight w:val="none"/>
                <w:lang w:val="en-US" w:eastAsia="zh-CN"/>
              </w:rPr>
              <w:t xml:space="preserve">并</w:t>
            </w:r>
            <w:r>
              <w:rPr>
                <w:rFonts w:hint="eastAsia" w:ascii="宋体" w:hAnsi="宋体"/>
                <w:szCs w:val="21"/>
                <w:highlight w:val="none"/>
              </w:rPr>
              <w:t xml:space="preserve">拒付货款，且中标人还要承担给招标人造成的损失。</w:t>
            </w:r>
            <w:r/>
          </w:p>
        </w:tc>
      </w:tr>
      <w:tr>
        <w:trPr>
          <w:trHeight w:val="517"/>
        </w:trPr>
        <w:tc>
          <w:tcPr>
            <w:tcW w:w="709"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7337"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仲裁所在地：泰州</w:t>
            </w:r>
            <w:r/>
          </w:p>
        </w:tc>
      </w:tr>
    </w:tbl>
    <w:p>
      <w:pPr>
        <w:pStyle w:val="1192"/>
        <w:jc w:val="center"/>
        <w:pageBreakBefore w:val="0"/>
        <w:spacing w:before="0" w:after="0" w:line="360" w:lineRule="auto"/>
        <w:rPr>
          <w:rFonts w:ascii="宋体" w:hAnsi="宋体" w:cs="宋体"/>
          <w:b w:val="0"/>
          <w:bCs/>
          <w:caps w:val="0"/>
          <w:sz w:val="21"/>
          <w:szCs w:val="21"/>
          <w:highlight w:val="none"/>
        </w:rPr>
      </w:pPr>
      <w:r>
        <w:rPr>
          <w:rFonts w:ascii="宋体" w:hAnsi="宋体" w:cs="宋体"/>
          <w:b w:val="0"/>
          <w:bCs/>
          <w:caps w:val="0"/>
          <w:sz w:val="21"/>
          <w:szCs w:val="21"/>
          <w:highlight w:val="none"/>
        </w:rPr>
      </w:r>
      <w:r/>
    </w:p>
    <w:p>
      <w:pPr>
        <w:pageBreakBefore w:val="0"/>
        <w:spacing w:line="360" w:lineRule="auto"/>
        <w:rPr>
          <w:highlight w:val="none"/>
        </w:rPr>
      </w:pPr>
      <w:r>
        <w:rPr>
          <w:highlight w:val="none"/>
        </w:rPr>
      </w:r>
      <w:r/>
    </w:p>
    <w:p>
      <w:pPr>
        <w:pStyle w:val="1206"/>
        <w:ind w:firstLine="210"/>
        <w:jc w:val="center"/>
        <w:pageBreakBefore w:val="0"/>
        <w:spacing w:line="360" w:lineRule="auto"/>
        <w:rPr>
          <w:rFonts w:hint="eastAsia" w:ascii="宋体" w:hAnsi="宋体" w:cs="宋体"/>
          <w:b/>
          <w:color w:val="auto"/>
          <w:szCs w:val="21"/>
          <w:highlight w:val="none"/>
        </w:rPr>
      </w:pPr>
      <w:r/>
      <w:bookmarkStart w:id="92" w:name="_Toc168227940"/>
      <w:r/>
      <w:bookmarkStart w:id="93" w:name="_Toc185672381"/>
      <w:r/>
      <w:bookmarkStart w:id="94" w:name="_Toc185670844"/>
      <w:r/>
      <w:bookmarkStart w:id="95" w:name="_Toc186515170"/>
      <w:r/>
      <w:bookmarkStart w:id="96" w:name="_Toc185671412"/>
      <w:r/>
      <w:bookmarkStart w:id="97" w:name="_Toc214682915"/>
      <w:r/>
      <w:bookmarkStart w:id="98" w:name="_Toc258313648"/>
      <w:r/>
      <w:bookmarkStart w:id="99" w:name="_Toc185412941"/>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6"/>
        <w:ind w:firstLine="210"/>
        <w:jc w:val="center"/>
        <w:pageBreakBefore w:val="0"/>
        <w:spacing w:line="360" w:lineRule="auto"/>
        <w:rPr>
          <w:rFonts w:hint="eastAsia" w:ascii="宋体" w:hAnsi="宋体" w:cs="宋体"/>
          <w:b/>
          <w:color w:val="auto"/>
          <w:szCs w:val="21"/>
          <w:highlight w:val="none"/>
        </w:rPr>
        <w:sectPr>
          <w:footerReference w:type="default" r:id="rId15"/>
          <w:footerReference w:type="even" r:id="rId16"/>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b/>
          <w:color w:val="auto"/>
          <w:szCs w:val="21"/>
          <w:highlight w:val="none"/>
        </w:rPr>
      </w:r>
      <w:r/>
    </w:p>
    <w:p>
      <w:pPr>
        <w:pStyle w:val="1192"/>
        <w:jc w:val="center"/>
        <w:pageBreakBefore w:val="0"/>
        <w:spacing w:before="0" w:after="0" w:line="360" w:lineRule="auto"/>
        <w:rPr>
          <w:rFonts w:cs="宋体" w:asciiTheme="minorEastAsia" w:hAnsiTheme="minorEastAsia" w:eastAsiaTheme="minorEastAsia"/>
          <w:b w:val="0"/>
          <w:caps w:val="0"/>
          <w:sz w:val="21"/>
          <w:szCs w:val="21"/>
          <w:highlight w:val="none"/>
        </w:rPr>
      </w:pPr>
      <w:r>
        <w:rPr>
          <w:rFonts w:hint="eastAsia" w:cs="宋体" w:asciiTheme="minorEastAsia" w:hAnsiTheme="minorEastAsia" w:eastAsiaTheme="minorEastAsia"/>
          <w:sz w:val="21"/>
          <w:szCs w:val="21"/>
          <w:highlight w:val="none"/>
        </w:rPr>
        <w:t xml:space="preserve">采购合同</w:t>
      </w:r>
      <w:r>
        <w:rPr>
          <w:rFonts w:hint="eastAsia" w:cs="宋体" w:asciiTheme="minorEastAsia" w:hAnsiTheme="minorEastAsia" w:eastAsiaTheme="minorEastAsia"/>
          <w:b w:val="0"/>
          <w:caps w:val="0"/>
          <w:sz w:val="21"/>
          <w:szCs w:val="21"/>
          <w:highlight w:val="none"/>
        </w:rPr>
        <w:t xml:space="preserve">（参考文本）</w:t>
      </w:r>
      <w:r/>
    </w:p>
    <w:p>
      <w:pPr>
        <w:pStyle w:val="1201"/>
        <w:ind w:firstLine="3780"/>
        <w:jc w:val="both"/>
        <w:pageBreakBefore w:val="0"/>
        <w:spacing w:before="0" w:after="0" w:line="360" w:lineRule="auto"/>
        <w:rPr>
          <w:rFonts w:hint="eastAsia" w:cs="宋体" w:asciiTheme="minorEastAsia" w:hAnsiTheme="minorEastAsia" w:eastAsiaTheme="minorEastAsia"/>
          <w:sz w:val="21"/>
          <w:szCs w:val="21"/>
          <w:highlight w:val="none"/>
          <w:lang w:eastAsia="zh-CN"/>
        </w:rPr>
      </w:pPr>
      <w:r>
        <w:rPr>
          <w:rFonts w:hint="eastAsia" w:cs="宋体" w:asciiTheme="minorEastAsia" w:hAnsiTheme="minorEastAsia" w:eastAsiaTheme="minorEastAsia"/>
          <w:sz w:val="21"/>
          <w:szCs w:val="21"/>
          <w:highlight w:val="none"/>
          <w:lang w:eastAsia="zh-CN"/>
        </w:rPr>
        <w:t xml:space="preserve">（</w:t>
      </w:r>
      <w:r>
        <w:rPr>
          <w:rFonts w:hint="eastAsia" w:cs="宋体" w:asciiTheme="minorEastAsia" w:hAnsiTheme="minorEastAsia" w:eastAsiaTheme="minorEastAsia"/>
          <w:sz w:val="21"/>
          <w:szCs w:val="21"/>
          <w:highlight w:val="none"/>
        </w:rPr>
        <w:t xml:space="preserve">合同编号： </w:t>
      </w:r>
      <w:r>
        <w:rPr>
          <w:rFonts w:hint="eastAsia" w:cs="宋体" w:asciiTheme="minorEastAsia" w:hAnsiTheme="minorEastAsia" w:eastAsiaTheme="minorEastAsia"/>
          <w:sz w:val="21"/>
          <w:szCs w:val="21"/>
          <w:highlight w:val="none"/>
          <w:lang w:eastAsia="zh-CN"/>
        </w:rPr>
        <w:t xml:space="preserve">）</w:t>
      </w:r>
      <w:r/>
    </w:p>
    <w:p>
      <w:pPr>
        <w:ind w:left="420" w:hanging="210"/>
        <w:jc w:val="left"/>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left="420" w:hanging="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采购人：            （以下称甲方）  住所地：</w:t>
      </w:r>
      <w:r/>
    </w:p>
    <w:p>
      <w:pPr>
        <w:jc w:val="left"/>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left="420" w:hanging="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          （以下称乙方）</w:t>
      </w:r>
      <w:r>
        <w:rPr>
          <w:rFonts w:hint="eastAsia" w:cs="宋体" w:asciiTheme="minorEastAsia" w:hAnsiTheme="minorEastAsia" w:eastAsiaTheme="minorEastAsia"/>
          <w:szCs w:val="21"/>
          <w:highlight w:val="none"/>
          <w:lang w:val="en-US" w:eastAsia="zh-CN"/>
        </w:rPr>
        <w:t xml:space="preserve">   </w:t>
      </w:r>
      <w:r>
        <w:rPr>
          <w:rFonts w:hint="eastAsia" w:cs="宋体" w:asciiTheme="minorEastAsia" w:hAnsiTheme="minorEastAsia" w:eastAsiaTheme="minorEastAsia"/>
          <w:szCs w:val="21"/>
          <w:highlight w:val="none"/>
        </w:rPr>
        <w:t xml:space="preserve">住所地：</w:t>
      </w:r>
      <w:r/>
    </w:p>
    <w:p>
      <w:pPr>
        <w:jc w:val="left"/>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pStyle w:val="1201"/>
        <w:ind w:firstLine="420"/>
        <w:jc w:val="both"/>
        <w:pageBreakBefore w:val="0"/>
        <w:spacing w:before="0" w:after="0" w:line="360" w:lineRule="auto"/>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根据《中华人民共和国政府采购法</w:t>
      </w:r>
      <w:r>
        <w:rPr>
          <w:rFonts w:hint="eastAsia" w:cs="宋体" w:asciiTheme="minorEastAsia" w:hAnsiTheme="minorEastAsia" w:eastAsiaTheme="minorEastAsia"/>
          <w:sz w:val="21"/>
          <w:szCs w:val="21"/>
          <w:highlight w:val="none"/>
          <w:lang w:eastAsia="zh-CN"/>
        </w:rPr>
        <w:t xml:space="preserve">》和《</w:t>
      </w:r>
      <w:r>
        <w:rPr>
          <w:rFonts w:hint="eastAsia" w:cs="宋体" w:asciiTheme="minorEastAsia" w:hAnsiTheme="minorEastAsia" w:eastAsiaTheme="minorEastAsia"/>
          <w:sz w:val="21"/>
          <w:szCs w:val="21"/>
          <w:highlight w:val="none"/>
        </w:rPr>
        <w:t xml:space="preserve">中华人民共和国民法典》等法律法规的规定，甲乙双方按照项目的招标结果签订本合同。</w:t>
      </w:r>
      <w:r/>
    </w:p>
    <w:p>
      <w:pPr>
        <w:ind w:left="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第一条：合同标的</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供货一览表：</w:t>
      </w:r>
      <w:r/>
    </w:p>
    <w:tbl>
      <w:tblPr>
        <w:tblStyle w:val="1184"/>
        <w:tblW w:w="9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2025"/>
        <w:gridCol w:w="1070"/>
        <w:gridCol w:w="1409"/>
        <w:gridCol w:w="1600"/>
        <w:gridCol w:w="1611"/>
        <w:gridCol w:w="1611"/>
      </w:tblGrid>
      <w:tr>
        <w:trPr>
          <w:jc w:val="center"/>
          <w:trHeight w:val="872" w:hRule="exact"/>
        </w:trPr>
        <w:tc>
          <w:tcPr>
            <w:tcW w:w="637" w:type="dxa"/>
            <w:vAlign w:val="center"/>
            <w:textDirection w:val="lrTb"/>
            <w:noWrap w:val="false"/>
          </w:tcPr>
          <w:p>
            <w:pPr>
              <w:jc w:val="center"/>
              <w:pageBreakBefore w:val="0"/>
              <w:spacing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序号</w:t>
            </w:r>
            <w:r/>
          </w:p>
        </w:tc>
        <w:tc>
          <w:tcPr>
            <w:tcW w:w="2025" w:type="dxa"/>
            <w:vAlign w:val="center"/>
            <w:textDirection w:val="lrTb"/>
            <w:noWrap w:val="false"/>
          </w:tcPr>
          <w:p>
            <w:pPr>
              <w:jc w:val="center"/>
              <w:pageBreakBefore w:val="0"/>
              <w:spacing w:line="360" w:lineRule="auto"/>
              <w:widowControl/>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货物名称</w:t>
            </w:r>
            <w:r/>
          </w:p>
        </w:tc>
        <w:tc>
          <w:tcPr>
            <w:tcW w:w="1070" w:type="dxa"/>
            <w:vAlign w:val="center"/>
            <w:textDirection w:val="lrTb"/>
            <w:noWrap w:val="false"/>
          </w:tcPr>
          <w:p>
            <w:pPr>
              <w:jc w:val="center"/>
              <w:pageBreakBefore w:val="0"/>
              <w:spacing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规格型号</w:t>
            </w:r>
            <w:r/>
          </w:p>
        </w:tc>
        <w:tc>
          <w:tcPr>
            <w:tcW w:w="1409" w:type="dxa"/>
            <w:vAlign w:val="center"/>
            <w:textDirection w:val="lrTb"/>
            <w:noWrap w:val="false"/>
          </w:tcPr>
          <w:p>
            <w:pPr>
              <w:jc w:val="center"/>
              <w:pageBreakBefore w:val="0"/>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单位</w:t>
            </w:r>
            <w:r/>
          </w:p>
        </w:tc>
        <w:tc>
          <w:tcPr>
            <w:tcW w:w="1600" w:type="dxa"/>
            <w:vAlign w:val="center"/>
            <w:textDirection w:val="lrTb"/>
            <w:noWrap w:val="false"/>
          </w:tcPr>
          <w:p>
            <w:pPr>
              <w:jc w:val="center"/>
              <w:pageBreakBefore w:val="0"/>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数量</w:t>
            </w:r>
            <w:r/>
          </w:p>
        </w:tc>
        <w:tc>
          <w:tcPr>
            <w:tcW w:w="1611" w:type="dxa"/>
            <w:vAlign w:val="center"/>
            <w:textDirection w:val="lrTb"/>
            <w:noWrap w:val="false"/>
          </w:tcPr>
          <w:p>
            <w:pPr>
              <w:jc w:val="center"/>
              <w:pageBreakBefore w:val="0"/>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单价</w:t>
            </w:r>
            <w:r/>
          </w:p>
        </w:tc>
        <w:tc>
          <w:tcPr>
            <w:tcW w:w="1611" w:type="dxa"/>
            <w:vAlign w:val="center"/>
            <w:textDirection w:val="lrTb"/>
            <w:noWrap w:val="false"/>
          </w:tcPr>
          <w:p>
            <w:pPr>
              <w:jc w:val="center"/>
              <w:pageBreakBefore w:val="0"/>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总价</w:t>
            </w:r>
            <w:r/>
          </w:p>
        </w:tc>
      </w:tr>
      <w:tr>
        <w:trPr>
          <w:jc w:val="center"/>
          <w:trHeight w:val="567" w:hRule="exact"/>
        </w:trPr>
        <w:tc>
          <w:tcPr>
            <w:tcW w:w="637" w:type="dxa"/>
            <w:vAlign w:val="center"/>
            <w:textDirection w:val="lrTb"/>
            <w:noWrap w:val="false"/>
          </w:tcPr>
          <w:p>
            <w:pPr>
              <w:ind w:firstLine="210"/>
              <w:pageBreakBefore w:val="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w:t>
            </w:r>
            <w:r/>
          </w:p>
        </w:tc>
        <w:tc>
          <w:tcPr>
            <w:tcW w:w="2025"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070"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409" w:type="dxa"/>
            <w:vAlign w:val="center"/>
            <w:textDirection w:val="lrTb"/>
            <w:noWrap w:val="false"/>
          </w:tcPr>
          <w:p>
            <w:pPr>
              <w:jc w:val="center"/>
              <w:pageBreakBefore w:val="0"/>
              <w:spacing w:line="360" w:lineRule="auto"/>
              <w:widowControl/>
              <w:rPr>
                <w:rFonts w:cs="宋体" w:asciiTheme="minorEastAsia" w:hAnsiTheme="minorEastAsia" w:eastAsiaTheme="minorEastAsia"/>
                <w:bCs/>
                <w:szCs w:val="21"/>
                <w:highlight w:val="none"/>
              </w:rPr>
            </w:pPr>
            <w:r>
              <w:rPr>
                <w:rFonts w:cs="宋体" w:asciiTheme="minorEastAsia" w:hAnsiTheme="minorEastAsia" w:eastAsiaTheme="minorEastAsia"/>
                <w:bCs/>
                <w:szCs w:val="21"/>
                <w:highlight w:val="none"/>
              </w:rPr>
            </w:r>
            <w:r/>
          </w:p>
        </w:tc>
        <w:tc>
          <w:tcPr>
            <w:tcW w:w="1600" w:type="dxa"/>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567" w:hRule="exact"/>
        </w:trPr>
        <w:tc>
          <w:tcPr>
            <w:tcW w:w="637" w:type="dxa"/>
            <w:vAlign w:val="center"/>
            <w:textDirection w:val="lrTb"/>
            <w:noWrap w:val="false"/>
          </w:tcPr>
          <w:p>
            <w:pPr>
              <w:ind w:firstLine="210"/>
              <w:pageBreakBefore w:val="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w:t>
            </w:r>
            <w:r/>
          </w:p>
        </w:tc>
        <w:tc>
          <w:tcPr>
            <w:tcW w:w="2025"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070"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409" w:type="dxa"/>
            <w:vAlign w:val="center"/>
            <w:textDirection w:val="lrTb"/>
            <w:noWrap w:val="false"/>
          </w:tcPr>
          <w:p>
            <w:pPr>
              <w:jc w:val="center"/>
              <w:pageBreakBefore w:val="0"/>
              <w:spacing w:line="360" w:lineRule="auto"/>
              <w:widowControl/>
              <w:rPr>
                <w:rFonts w:cs="宋体" w:asciiTheme="minorEastAsia" w:hAnsiTheme="minorEastAsia" w:eastAsiaTheme="minorEastAsia"/>
                <w:bCs/>
                <w:szCs w:val="21"/>
                <w:highlight w:val="none"/>
              </w:rPr>
            </w:pPr>
            <w:r>
              <w:rPr>
                <w:rFonts w:cs="宋体" w:asciiTheme="minorEastAsia" w:hAnsiTheme="minorEastAsia" w:eastAsiaTheme="minorEastAsia"/>
                <w:bCs/>
                <w:szCs w:val="21"/>
                <w:highlight w:val="none"/>
              </w:rPr>
            </w:r>
            <w:r/>
          </w:p>
        </w:tc>
        <w:tc>
          <w:tcPr>
            <w:tcW w:w="1600" w:type="dxa"/>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567" w:hRule="exact"/>
        </w:trPr>
        <w:tc>
          <w:tcPr>
            <w:tcW w:w="637" w:type="dxa"/>
            <w:vAlign w:val="center"/>
            <w:textDirection w:val="lrTb"/>
            <w:noWrap w:val="false"/>
          </w:tcPr>
          <w:p>
            <w:pPr>
              <w:ind w:firstLine="210"/>
              <w:pageBreakBefore w:val="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w:t>
            </w:r>
            <w:r/>
          </w:p>
        </w:tc>
        <w:tc>
          <w:tcPr>
            <w:tcW w:w="2025"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070"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409" w:type="dxa"/>
            <w:vAlign w:val="center"/>
            <w:textDirection w:val="lrTb"/>
            <w:noWrap w:val="false"/>
          </w:tcPr>
          <w:p>
            <w:pPr>
              <w:jc w:val="center"/>
              <w:pageBreakBefore w:val="0"/>
              <w:spacing w:line="360" w:lineRule="auto"/>
              <w:widowControl/>
              <w:rPr>
                <w:rFonts w:cs="宋体" w:asciiTheme="minorEastAsia" w:hAnsiTheme="minorEastAsia" w:eastAsiaTheme="minorEastAsia"/>
                <w:bCs/>
                <w:szCs w:val="21"/>
                <w:highlight w:val="none"/>
              </w:rPr>
            </w:pPr>
            <w:r>
              <w:rPr>
                <w:rFonts w:cs="宋体" w:asciiTheme="minorEastAsia" w:hAnsiTheme="minorEastAsia" w:eastAsiaTheme="minorEastAsia"/>
                <w:bCs/>
                <w:szCs w:val="21"/>
                <w:highlight w:val="none"/>
              </w:rPr>
            </w:r>
            <w:r/>
          </w:p>
        </w:tc>
        <w:tc>
          <w:tcPr>
            <w:tcW w:w="1600" w:type="dxa"/>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567" w:hRule="exact"/>
        </w:trPr>
        <w:tc>
          <w:tcPr>
            <w:tcW w:w="637" w:type="dxa"/>
            <w:vAlign w:val="center"/>
            <w:textDirection w:val="lrTb"/>
            <w:noWrap w:val="false"/>
          </w:tcPr>
          <w:p>
            <w:pPr>
              <w:ind w:firstLine="210"/>
              <w:pageBreakBefore w:val="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w:t>
            </w:r>
            <w:r/>
          </w:p>
        </w:tc>
        <w:tc>
          <w:tcPr>
            <w:tcW w:w="2025"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070"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409" w:type="dxa"/>
            <w:vAlign w:val="center"/>
            <w:textDirection w:val="lrTb"/>
            <w:noWrap w:val="false"/>
          </w:tcPr>
          <w:p>
            <w:pPr>
              <w:jc w:val="center"/>
              <w:pageBreakBefore w:val="0"/>
              <w:spacing w:line="360" w:lineRule="auto"/>
              <w:widowControl/>
              <w:rPr>
                <w:rFonts w:cs="宋体" w:asciiTheme="minorEastAsia" w:hAnsiTheme="minorEastAsia" w:eastAsiaTheme="minorEastAsia"/>
                <w:bCs/>
                <w:szCs w:val="21"/>
                <w:highlight w:val="none"/>
              </w:rPr>
            </w:pPr>
            <w:r>
              <w:rPr>
                <w:rFonts w:cs="宋体" w:asciiTheme="minorEastAsia" w:hAnsiTheme="minorEastAsia" w:eastAsiaTheme="minorEastAsia"/>
                <w:bCs/>
                <w:szCs w:val="21"/>
                <w:highlight w:val="none"/>
              </w:rPr>
            </w:r>
            <w:r/>
          </w:p>
        </w:tc>
        <w:tc>
          <w:tcPr>
            <w:tcW w:w="1600" w:type="dxa"/>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567" w:hRule="exact"/>
        </w:trPr>
        <w:tc>
          <w:tcPr>
            <w:tcW w:w="637" w:type="dxa"/>
            <w:vAlign w:val="center"/>
            <w:textDirection w:val="lrTb"/>
            <w:noWrap w:val="false"/>
          </w:tcPr>
          <w:p>
            <w:pPr>
              <w:ind w:firstLine="210"/>
              <w:pageBreakBefore w:val="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w:t>
            </w:r>
            <w:r/>
          </w:p>
        </w:tc>
        <w:tc>
          <w:tcPr>
            <w:tcW w:w="2025"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070"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409" w:type="dxa"/>
            <w:vAlign w:val="center"/>
            <w:textDirection w:val="lrTb"/>
            <w:noWrap w:val="false"/>
          </w:tcPr>
          <w:p>
            <w:pPr>
              <w:jc w:val="center"/>
              <w:pageBreakBefore w:val="0"/>
              <w:spacing w:line="360" w:lineRule="auto"/>
              <w:widowControl/>
              <w:rPr>
                <w:rFonts w:cs="宋体" w:asciiTheme="minorEastAsia" w:hAnsiTheme="minorEastAsia" w:eastAsiaTheme="minorEastAsia"/>
                <w:bCs/>
                <w:szCs w:val="21"/>
                <w:highlight w:val="none"/>
              </w:rPr>
            </w:pPr>
            <w:r>
              <w:rPr>
                <w:rFonts w:cs="宋体" w:asciiTheme="minorEastAsia" w:hAnsiTheme="minorEastAsia" w:eastAsiaTheme="minorEastAsia"/>
                <w:bCs/>
                <w:szCs w:val="21"/>
                <w:highlight w:val="none"/>
              </w:rPr>
            </w:r>
            <w:r/>
          </w:p>
        </w:tc>
        <w:tc>
          <w:tcPr>
            <w:tcW w:w="1600" w:type="dxa"/>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bl>
    <w:p>
      <w:pPr>
        <w:pStyle w:val="1187"/>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ind w:left="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第二条：合同总价款</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本合同项下货物总价款为人民币</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大写）。</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本合同总价款是货物设计、制造、包装、仓储、运输、安装及验收合格之前及保修期内备品备件发生的所有含税费用。</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本合同总价款还包含乙方应当提供的伴随服务/售后服务费用。</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本合同执行期间合同总价款不变。 </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第三条：组成本合同的有关文件</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下列关于泰州市政府采购</w:t>
      </w:r>
      <w:r>
        <w:rPr>
          <w:rFonts w:hint="eastAsia" w:cs="宋体" w:asciiTheme="minorEastAsia" w:hAnsiTheme="minorEastAsia" w:eastAsiaTheme="minorEastAsia"/>
          <w:szCs w:val="21"/>
          <w:highlight w:val="none"/>
          <w:u w:val="single"/>
        </w:rPr>
        <w:t xml:space="preserve"> </w:t>
      </w:r>
      <w:r>
        <w:rPr>
          <w:rFonts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号的</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或与本次采购活动方式相适应的文件及有关附件是本合同不可分割的组成部分，与本合同具有同等法律效力，这些文件包括但不限于： </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乙方提供的投标文件和投标报价表； </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供货一览表；</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技术规格响应表；</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有关投标承诺、服务承诺；</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中标或成交通知书；</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甲乙双方商定的其他文件；</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本次</w:t>
      </w:r>
      <w:r>
        <w:rPr>
          <w:rFonts w:hint="eastAsia" w:cs="宋体" w:asciiTheme="minorEastAsia" w:hAnsiTheme="minorEastAsia" w:eastAsiaTheme="minorEastAsia"/>
          <w:szCs w:val="21"/>
          <w:highlight w:val="none"/>
          <w:lang w:val="en-US" w:eastAsia="zh-CN"/>
        </w:rPr>
        <w:t xml:space="preserve">采购 </w:t>
      </w:r>
      <w:r>
        <w:rPr>
          <w:rFonts w:hint="eastAsia" w:cs="宋体" w:asciiTheme="minorEastAsia" w:hAnsiTheme="minorEastAsia" w:eastAsiaTheme="minorEastAsia"/>
          <w:szCs w:val="21"/>
          <w:highlight w:val="none"/>
        </w:rPr>
        <w:t xml:space="preserve">文件。</w:t>
      </w:r>
      <w:r/>
    </w:p>
    <w:p>
      <w:pPr>
        <w:ind w:left="420" w:hanging="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第四条：权利保证</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乙方应</w:t>
      </w:r>
      <w:r>
        <w:rPr>
          <w:rFonts w:hint="eastAsia" w:cs="宋体" w:asciiTheme="minorEastAsia" w:hAnsiTheme="minorEastAsia" w:eastAsiaTheme="minorEastAsia"/>
          <w:szCs w:val="21"/>
          <w:highlight w:val="none"/>
          <w:lang w:eastAsia="zh-CN"/>
        </w:rPr>
        <w:t xml:space="preserve">保证</w:t>
      </w:r>
      <w:r>
        <w:rPr>
          <w:rFonts w:hint="eastAsia" w:cs="宋体" w:asciiTheme="minorEastAsia" w:hAnsiTheme="minorEastAsia" w:eastAsiaTheme="minorEastAsia"/>
          <w:szCs w:val="21"/>
          <w:highlight w:val="none"/>
        </w:rPr>
        <w:t xml:space="preserve">甲方在使用该货物或其任何一部分时不受第三方提出侵犯其专利权、版权、商标权或其他权利的起诉。一旦出现侵权，乙方应承担全部责任。 </w:t>
      </w:r>
      <w:r/>
    </w:p>
    <w:p>
      <w:pPr>
        <w:ind w:left="420" w:hanging="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第五条：质量保证</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1.乙方所提供的货物的技术规格应与</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规定的技术规格及所附的“技术规格响应表”相一致；若技术性能无特殊说明，则按国家有关部门最新颁布的标准及规范为准。</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车辆验收后，在质量保证期内，乙方应对由于设计、工艺或材料的缺陷所发生的任何不足或故障负责，所需费用由乙方承担。 </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第六条：交货和验收</w:t>
      </w:r>
      <w:r/>
    </w:p>
    <w:p>
      <w:pPr>
        <w:ind w:firstLine="420"/>
        <w:jc w:val="both"/>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1.</w:t>
      </w:r>
      <w:r>
        <w:rPr>
          <w:rFonts w:hint="eastAsia" w:cs="宋体" w:asciiTheme="minorEastAsia" w:hAnsiTheme="minorEastAsia" w:eastAsiaTheme="minorEastAsia"/>
          <w:szCs w:val="21"/>
          <w:highlight w:val="none"/>
        </w:rPr>
        <w:t xml:space="preserve">乙方应按照本合同或</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规定的时间和方式向甲方交付货物。交货地点由甲方指定，乙方应当在_________（期间）前将货物交付甲方。 </w:t>
      </w:r>
      <w:r/>
    </w:p>
    <w:p>
      <w:pPr>
        <w:ind w:firstLine="420"/>
        <w:jc w:val="both"/>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2.</w:t>
      </w:r>
      <w:r>
        <w:rPr>
          <w:rFonts w:hint="eastAsia" w:cs="宋体" w:asciiTheme="minorEastAsia" w:hAnsiTheme="minorEastAsia" w:eastAsiaTheme="minorEastAsia"/>
          <w:szCs w:val="21"/>
          <w:highlight w:val="none"/>
        </w:rPr>
        <w:t xml:space="preserve">乙方交付的货物应当完全符合本合同或者</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所规定的货物、数量和规格要求。乙方不得少交或多交货物。乙方提供的货物不符合</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和合同规定的，甲方有权拒收货物，由此引起的风险，由乙方承担。</w:t>
      </w:r>
      <w:r/>
    </w:p>
    <w:p>
      <w:pPr>
        <w:ind w:firstLine="420"/>
        <w:jc w:val="both"/>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3.</w:t>
      </w:r>
      <w:r>
        <w:rPr>
          <w:rFonts w:hint="eastAsia" w:cs="宋体" w:asciiTheme="minorEastAsia" w:hAnsiTheme="minorEastAsia" w:eastAsiaTheme="minorEastAsia"/>
          <w:szCs w:val="21"/>
          <w:highlight w:val="none"/>
        </w:rPr>
        <w:t xml:space="preserve">货物的到货验收包括：型号、规格、数量、外观质量</w:t>
      </w:r>
      <w:r>
        <w:rPr>
          <w:rFonts w:hint="eastAsia" w:cs="宋体" w:asciiTheme="minorEastAsia" w:hAnsiTheme="minorEastAsia" w:eastAsiaTheme="minorEastAsia"/>
          <w:szCs w:val="21"/>
          <w:highlight w:val="none"/>
          <w:lang w:eastAsia="zh-CN"/>
        </w:rPr>
        <w:t xml:space="preserve">，以及</w:t>
      </w:r>
      <w:r>
        <w:rPr>
          <w:rFonts w:hint="eastAsia" w:cs="宋体" w:asciiTheme="minorEastAsia" w:hAnsiTheme="minorEastAsia" w:eastAsiaTheme="minorEastAsia"/>
          <w:szCs w:val="21"/>
          <w:highlight w:val="none"/>
        </w:rPr>
        <w:t xml:space="preserve">使用性能是否符合要求等。</w:t>
      </w:r>
      <w:r/>
    </w:p>
    <w:p>
      <w:pPr>
        <w:ind w:firstLine="420"/>
        <w:jc w:val="both"/>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4.</w:t>
      </w:r>
      <w:r>
        <w:rPr>
          <w:rFonts w:hint="eastAsia" w:cs="宋体" w:asciiTheme="minorEastAsia" w:hAnsiTheme="minorEastAsia" w:eastAsiaTheme="minorEastAsia"/>
          <w:szCs w:val="21"/>
          <w:highlight w:val="none"/>
        </w:rPr>
        <w:t xml:space="preserve">乙方应将所提供车辆用户手册、原厂保修卡、随车资料及配件、随车工具等交付给甲方；乙方不能完整交付货物及本款规定的单证和工具的，视为未按合同约定交货，乙方负责补齐，因此导致逾期交付的，由乙方承担相关的违约责任。</w:t>
      </w:r>
      <w:r/>
    </w:p>
    <w:p>
      <w:pPr>
        <w:ind w:firstLine="420"/>
        <w:jc w:val="both"/>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5.</w:t>
      </w:r>
      <w:r>
        <w:rPr>
          <w:rFonts w:hint="eastAsia" w:cs="宋体" w:asciiTheme="minorEastAsia" w:hAnsiTheme="minorEastAsia" w:eastAsiaTheme="minorEastAsia"/>
          <w:szCs w:val="21"/>
          <w:highlight w:val="none"/>
        </w:rPr>
        <w:t xml:space="preserve">甲方应当在到货后</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个工作日内对货物进行验收；需要乙方对货物或系统进行安装调试的，甲方应在货物安装调试完毕后的</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个工作日内进行质量验收。验收合格的，由甲方签署验收单并加盖单位公章。</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对检验期限另有规定的，从其规定。</w:t>
      </w:r>
      <w:r/>
    </w:p>
    <w:p>
      <w:pPr>
        <w:ind w:firstLine="420"/>
        <w:jc w:val="both"/>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6.</w:t>
      </w:r>
      <w:r>
        <w:rPr>
          <w:rFonts w:hint="eastAsia" w:cs="宋体" w:asciiTheme="minorEastAsia" w:hAnsiTheme="minorEastAsia" w:eastAsiaTheme="minorEastAsia"/>
          <w:szCs w:val="21"/>
          <w:highlight w:val="none"/>
        </w:rPr>
        <w:t xml:space="preserve">货物和系统调试验收的标准：按行业通行标准、厂方出厂标准和乙方投标文件的承诺（不低于国家相关标准）。</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第七条：伴随服务／售后服务</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1.消防器材：</w:t>
      </w:r>
      <w:r>
        <w:rPr>
          <w:spacing w:val="-2"/>
          <w:szCs w:val="21"/>
          <w:highlight w:val="none"/>
        </w:rPr>
        <w:t xml:space="preserve">不得低</w:t>
      </w:r>
      <w:r>
        <w:rPr>
          <w:spacing w:val="-3"/>
          <w:szCs w:val="21"/>
          <w:highlight w:val="none"/>
        </w:rPr>
        <w:t xml:space="preserve">于</w:t>
      </w:r>
      <w:r>
        <w:rPr>
          <w:rFonts w:hint="eastAsia" w:asciiTheme="minorEastAsia" w:hAnsiTheme="minorEastAsia" w:eastAsiaTheme="minorEastAsia"/>
          <w:spacing w:val="-3"/>
          <w:szCs w:val="21"/>
          <w:highlight w:val="none"/>
        </w:rPr>
        <w:t xml:space="preserve">3</w:t>
      </w:r>
      <w:r>
        <w:rPr>
          <w:rFonts w:asciiTheme="minorEastAsia" w:hAnsiTheme="minorEastAsia" w:eastAsiaTheme="minorEastAsia"/>
          <w:spacing w:val="-3"/>
          <w:szCs w:val="21"/>
          <w:highlight w:val="none"/>
        </w:rPr>
        <w:t xml:space="preserve">年</w:t>
      </w:r>
      <w:r>
        <w:rPr>
          <w:rFonts w:hint="eastAsia" w:cs="宋体" w:asciiTheme="minorEastAsia" w:hAnsiTheme="minorEastAsia" w:eastAsiaTheme="minorEastAsia"/>
          <w:szCs w:val="21"/>
          <w:highlight w:val="none"/>
        </w:rPr>
        <w:t xml:space="preserve">（自验收合格之日起开始计算）</w:t>
      </w:r>
      <w:r>
        <w:rPr>
          <w:rFonts w:hint="eastAsia"/>
          <w:spacing w:val="-3"/>
          <w:szCs w:val="21"/>
          <w:highlight w:val="none"/>
        </w:rPr>
        <w:t xml:space="preserve">。</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提供的货物在质保期内因货物本身的质量问题发生故障，乙方应在15个工作日内负责免费更换。对超过质保期发生故障的货物，乙方应当在15个工作日内负责维修并按照成本价收取零配件费用。对达不到技术要求者，根据实际情况，经双方协商，可按以下办法处理：</w:t>
      </w:r>
      <w:r/>
    </w:p>
    <w:p>
      <w:pPr>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（1）更换：由乙方承担所发生的全部费用。</w:t>
      </w:r>
      <w:r/>
    </w:p>
    <w:p>
      <w:pPr>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（2）退货处理：乙方应退还甲方支付的合同款，同时应承担该货物的直接费用（运输、保险、检验）。</w:t>
      </w:r>
      <w:r/>
    </w:p>
    <w:p>
      <w:pPr>
        <w:ind w:left="420"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2.除前款规定外，乙方还应提供下列服务：</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（1）货物的现场安装、调试和/或启动监督；</w:t>
      </w:r>
      <w:r/>
    </w:p>
    <w:p>
      <w:pPr>
        <w:ind w:left="420" w:hanging="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（2）就货物的安装、启动、运行及维护等对甲方人员进行免费培训。</w:t>
      </w:r>
      <w:r/>
    </w:p>
    <w:p>
      <w:pPr>
        <w:ind w:left="420"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3.若</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中不包含有关伴随服务或售后服务的承诺，双方</w:t>
      </w:r>
      <w:r>
        <w:rPr>
          <w:rFonts w:hint="eastAsia" w:cs="宋体" w:asciiTheme="minorEastAsia" w:hAnsiTheme="minorEastAsia" w:eastAsiaTheme="minorEastAsia"/>
          <w:szCs w:val="21"/>
          <w:highlight w:val="none"/>
          <w:lang w:eastAsia="zh-CN"/>
        </w:rPr>
        <w:t xml:space="preserve">作</w:t>
      </w:r>
      <w:r>
        <w:rPr>
          <w:rFonts w:hint="eastAsia" w:cs="宋体" w:asciiTheme="minorEastAsia" w:hAnsiTheme="minorEastAsia" w:eastAsiaTheme="minorEastAsia"/>
          <w:szCs w:val="21"/>
          <w:highlight w:val="none"/>
        </w:rPr>
        <w:t xml:space="preserve">如下约定：</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（2）质保服务方式均为乙方上门保修，即由乙方派员到车辆使用现场维修，由此产生的一切费用均由乙方承担。</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第八条</w:t>
      </w:r>
      <w:r>
        <w:rPr>
          <w:rFonts w:hint="eastAsia" w:cs="宋体" w:asciiTheme="minorEastAsia" w:hAnsiTheme="minorEastAsia" w:eastAsiaTheme="minorEastAsia"/>
          <w:szCs w:val="21"/>
          <w:highlight w:val="none"/>
          <w:lang w:eastAsia="zh-CN"/>
        </w:rPr>
        <w:t xml:space="preserve">：</w:t>
      </w:r>
      <w:r>
        <w:rPr>
          <w:rFonts w:hint="eastAsia" w:cs="宋体" w:asciiTheme="minorEastAsia" w:hAnsiTheme="minorEastAsia" w:eastAsiaTheme="minorEastAsia"/>
          <w:szCs w:val="21"/>
          <w:highlight w:val="none"/>
        </w:rPr>
        <w:t xml:space="preserve">履约保证金</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货物送达甲方指定地点并经验收合格后，履约保证金</w:t>
      </w:r>
      <w:r>
        <w:rPr>
          <w:rFonts w:hint="eastAsia" w:cs="宋体" w:asciiTheme="minorEastAsia" w:hAnsiTheme="minorEastAsia" w:eastAsiaTheme="minorEastAsia"/>
          <w:szCs w:val="21"/>
          <w:highlight w:val="none"/>
          <w:u w:val="single"/>
        </w:rPr>
        <w:t xml:space="preserve"> </w:t>
      </w:r>
      <w:r>
        <w:rPr>
          <w:rFonts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元整无息退还。</w:t>
      </w:r>
      <w:r/>
    </w:p>
    <w:p>
      <w:pPr>
        <w:ind w:firstLine="210"/>
        <w:jc w:val="left"/>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第九条</w:t>
      </w:r>
      <w:r>
        <w:rPr>
          <w:rFonts w:hint="eastAsia" w:cs="宋体" w:asciiTheme="minorEastAsia" w:hAnsiTheme="minorEastAsia" w:eastAsiaTheme="minorEastAsia"/>
          <w:szCs w:val="21"/>
          <w:highlight w:val="none"/>
          <w:lang w:eastAsia="zh-CN"/>
        </w:rPr>
        <w:t xml:space="preserve">：</w:t>
      </w:r>
      <w:r>
        <w:rPr>
          <w:rFonts w:hint="eastAsia" w:cs="宋体" w:asciiTheme="minorEastAsia" w:hAnsiTheme="minorEastAsia" w:eastAsiaTheme="minorEastAsia"/>
          <w:szCs w:val="21"/>
          <w:highlight w:val="none"/>
        </w:rPr>
        <w:t xml:space="preserve">货款支付</w:t>
      </w:r>
      <w:r/>
    </w:p>
    <w:p>
      <w:pPr>
        <w:ind w:firstLine="420"/>
        <w:pageBreakBefore w:val="0"/>
        <w:spacing w:line="360" w:lineRule="auto"/>
        <w:rPr>
          <w:rFonts w:ascii="宋体" w:hAnsi="宋体"/>
          <w:highlight w:val="none"/>
        </w:rPr>
      </w:pPr>
      <w:r>
        <w:rPr>
          <w:rFonts w:ascii="宋体" w:hAnsi="宋体"/>
          <w:highlight w:val="none"/>
        </w:rPr>
        <w:t xml:space="preserve">1. </w:t>
      </w:r>
      <w:r>
        <w:rPr>
          <w:rFonts w:hint="eastAsia" w:ascii="宋体" w:hAnsi="宋体"/>
          <w:highlight w:val="none"/>
        </w:rPr>
        <w:t xml:space="preserve">本合同项下所有款项均以人民币支付。</w:t>
      </w:r>
      <w:r/>
    </w:p>
    <w:p>
      <w:pPr>
        <w:ind w:firstLine="420"/>
        <w:pageBreakBefore w:val="0"/>
        <w:spacing w:line="360" w:lineRule="auto"/>
        <w:rPr>
          <w:rFonts w:ascii="宋体" w:hAnsi="宋体"/>
          <w:highlight w:val="none"/>
        </w:rPr>
      </w:pPr>
      <w:r>
        <w:rPr>
          <w:rFonts w:ascii="宋体" w:hAnsi="宋体"/>
          <w:highlight w:val="none"/>
        </w:rPr>
        <w:t xml:space="preserve">2. </w:t>
      </w:r>
      <w:r>
        <w:rPr>
          <w:rFonts w:hint="eastAsia" w:ascii="宋体" w:hAnsi="宋体"/>
          <w:highlight w:val="none"/>
        </w:rPr>
        <w:t xml:space="preserve">本合同项下的采购资金由甲方自行支付，乙方向甲方开具发票。</w:t>
      </w:r>
      <w:r/>
    </w:p>
    <w:p>
      <w:pPr>
        <w:ind w:firstLine="420"/>
        <w:pageBreakBefore w:val="0"/>
        <w:spacing w:line="360" w:lineRule="auto"/>
        <w:widowControl/>
        <w:rPr>
          <w:rFonts w:hint="eastAsia" w:ascii="宋体" w:hAnsi="宋体"/>
          <w:szCs w:val="21"/>
          <w:highlight w:val="none"/>
          <w:lang w:eastAsia="zh-CN"/>
        </w:rPr>
      </w:pPr>
      <w:r>
        <w:rPr>
          <w:rFonts w:hint="eastAsia" w:ascii="宋体" w:hAnsi="宋体"/>
          <w:szCs w:val="21"/>
          <w:highlight w:val="none"/>
          <w:lang w:val="en-US" w:eastAsia="zh-CN"/>
        </w:rPr>
        <w:t xml:space="preserve">3.合同签订后，一个月内支付合同价的30%；</w:t>
      </w:r>
      <w:r>
        <w:rPr>
          <w:rFonts w:hint="eastAsia" w:ascii="宋体" w:hAnsi="宋体"/>
          <w:szCs w:val="21"/>
          <w:highlight w:val="none"/>
          <w:lang w:eastAsia="zh-CN"/>
        </w:rPr>
        <w:t xml:space="preserve">供应商在交付货物后向采购人提出</w:t>
      </w:r>
      <w:r>
        <w:rPr>
          <w:rFonts w:hint="eastAsia" w:ascii="宋体" w:hAnsi="宋体"/>
          <w:szCs w:val="21"/>
          <w:highlight w:val="none"/>
          <w:lang w:val="en-US" w:eastAsia="zh-CN"/>
        </w:rPr>
        <w:t xml:space="preserve">验收申请</w:t>
      </w:r>
      <w:r>
        <w:rPr>
          <w:rFonts w:hint="eastAsia" w:ascii="宋体" w:hAnsi="宋体"/>
          <w:szCs w:val="21"/>
          <w:highlight w:val="none"/>
          <w:lang w:eastAsia="zh-CN"/>
        </w:rPr>
        <w:t xml:space="preserve">，产品</w:t>
      </w:r>
      <w:r>
        <w:rPr>
          <w:rFonts w:hint="eastAsia" w:ascii="宋体" w:hAnsi="宋体"/>
          <w:szCs w:val="21"/>
          <w:highlight w:val="none"/>
          <w:lang w:val="en-US" w:eastAsia="zh-CN"/>
        </w:rPr>
        <w:t xml:space="preserve">验收</w:t>
      </w:r>
      <w:r>
        <w:rPr>
          <w:rFonts w:hint="eastAsia" w:ascii="宋体" w:hAnsi="宋体"/>
          <w:szCs w:val="21"/>
          <w:highlight w:val="none"/>
          <w:lang w:eastAsia="zh-CN"/>
        </w:rPr>
        <w:t xml:space="preserve">合格后，支付</w:t>
      </w:r>
      <w:r>
        <w:rPr>
          <w:rFonts w:hint="eastAsia" w:ascii="宋体" w:hAnsi="宋体"/>
          <w:szCs w:val="21"/>
          <w:highlight w:val="none"/>
          <w:lang w:val="en-US" w:eastAsia="zh-CN"/>
        </w:rPr>
        <w:t xml:space="preserve">至</w:t>
      </w:r>
      <w:r>
        <w:rPr>
          <w:rFonts w:hint="eastAsia" w:ascii="宋体" w:hAnsi="宋体"/>
          <w:szCs w:val="21"/>
          <w:highlight w:val="none"/>
          <w:lang w:eastAsia="zh-CN"/>
        </w:rPr>
        <w:t xml:space="preserve">合同总金额的95%；合同履行期满后一个月内支付余款（以上不计利息）。</w:t>
      </w:r>
      <w:r/>
    </w:p>
    <w:p>
      <w:pPr>
        <w:ind w:firstLine="480"/>
        <w:pageBreakBefore w:val="0"/>
        <w:spacing w:line="360" w:lineRule="auto"/>
        <w:rPr>
          <w:b/>
          <w:bCs/>
          <w:sz w:val="24"/>
          <w:highlight w:val="none"/>
        </w:rPr>
      </w:pPr>
      <w:r>
        <w:rPr>
          <w:b/>
          <w:bCs/>
          <w:sz w:val="21"/>
          <w:szCs w:val="21"/>
          <w:highlight w:val="none"/>
        </w:rPr>
        <w:t xml:space="preserve">注：根据《苏财购〔2020〕52号》文的相关约定，乙方明确表示无需预付款或者主动要求降低预付款比例的，甲方可不适用关于预付款的规定，签订合同时，乙方需附上明确表示无需预付款或者主动要求降低预付款比例的书面声明。</w:t>
      </w:r>
      <w:r>
        <w:rPr>
          <w:sz w:val="24"/>
          <w:highlight w:val="none"/>
        </w:rPr>
        <w:t xml:space="preserve"> </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第十条：违约责任</w:t>
      </w:r>
      <w:r/>
    </w:p>
    <w:p>
      <w:pPr>
        <w:ind w:left="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1.甲方无正当理由拒收货物、拒付货物款的，由甲方向乙方偿付合同总价的10%违约金。</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2.如乙方不能交付货物，甲方有权扣留全部履约保证金，作为乙方应向甲方支付的违约金，且甲方有权解除合同，解除合同的通知自到达乙方时生效。甲方在今后的所有项目招标采购时，有权拒绝乙方参加。</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 乙方逾期交付货物的，每逾期1天，乙方向甲方偿付逾期交货部分货款总额的5‰的滞纳金。如乙方逾期交货达30天，按本条第2项执行。</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4.乙方所交付的货物型号、规格不符合</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规定的，甲方有权拒收。甲方拒收的，按本条第2项执行。</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在乙方承诺的或国家规定的质量保证期内（取两者中最长的期限），如经乙方两次维修或更换，货物仍不能达到合同约定的质量标准，甲方有权退货，乙方应退回全部货款，并按本条第2项处理，同时，乙方还须赔偿甲方因此遭受的损失。</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6.乙方未按本合同的规定和“服务承诺”提供伴随服务/售后服务的，应按合同总价款的10%向甲方承担违约责任，且甲方在今后的所有项目招标采购时，有权拒绝乙方参加。</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7.乙方在承担上述3-6款一项或多项违约责任后，仍应继续履行合同规定的义务（甲方解除合同的除外）。甲方未及时追究乙方的任何一项违约责任并不表明甲方放弃追究乙方该项或其他违约责任。</w:t>
      </w:r>
      <w:r/>
    </w:p>
    <w:p>
      <w:pPr>
        <w:ind w:firstLine="420"/>
        <w:jc w:val="left"/>
        <w:pageBreakBefore w:val="0"/>
        <w:spacing w:line="360" w:lineRule="auto"/>
        <w:widowControl/>
        <w:rPr>
          <w:rFonts w:ascii="宋体" w:hAnsi="宋体" w:cs="宋体"/>
          <w:szCs w:val="21"/>
          <w:highlight w:val="none"/>
        </w:rPr>
      </w:pPr>
      <w:r>
        <w:rPr>
          <w:rFonts w:hint="eastAsia" w:cs="宋体" w:asciiTheme="minorEastAsia" w:hAnsiTheme="minorEastAsia" w:eastAsiaTheme="minorEastAsia"/>
          <w:szCs w:val="21"/>
          <w:highlight w:val="none"/>
        </w:rPr>
        <w:t xml:space="preserve">8.因乙方责任不能按合同履约，造成装备或配套产品不能如期装备队伍，影响队伍执勤备战，甲方有权追究乙方</w:t>
      </w:r>
      <w:r>
        <w:rPr>
          <w:rFonts w:hint="eastAsia" w:ascii="宋体" w:hAnsi="宋体" w:cs="宋体"/>
          <w:szCs w:val="21"/>
          <w:highlight w:val="none"/>
        </w:rPr>
        <w:t xml:space="preserve">所造成的经济、法律和社会责任。签署本合同即视同乙方认可本条款。</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第十一条：合同的变更和终止</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除《</w:t>
      </w:r>
      <w:r>
        <w:rPr>
          <w:rFonts w:hint="eastAsia" w:cs="宋体" w:asciiTheme="minorEastAsia" w:hAnsiTheme="minorEastAsia" w:eastAsiaTheme="minorEastAsia"/>
          <w:szCs w:val="21"/>
          <w:highlight w:val="none"/>
          <w:lang w:eastAsia="zh-CN"/>
        </w:rPr>
        <w:t xml:space="preserve">中华人民共和国政府采购法</w:t>
      </w:r>
      <w:r>
        <w:rPr>
          <w:rFonts w:hint="eastAsia" w:cs="宋体" w:asciiTheme="minorEastAsia" w:hAnsiTheme="minorEastAsia" w:eastAsiaTheme="minorEastAsia"/>
          <w:szCs w:val="21"/>
          <w:highlight w:val="none"/>
        </w:rPr>
        <w:t xml:space="preserve">》规定的情形外，本合同一经签订，甲乙双方不得擅自变更、中止或终止合同。</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第十二条：合同的转让</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乙方不得擅自部分或全部转让其应履行的合同义务。</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第十三条：争议的解决</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1.因车辆的质量问题发生争议的，应当邀请国家认可的质量检测机构对货物质量进行鉴定。货物符合标准的，鉴定费由甲方承担；货物不符合质量标准的，鉴定费由乙方承担。</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2.因履行本合同引起的或与本合同有关的争议，甲、乙双方应首先通过友好协商解决，如果协商不能解决争议，则采取以下第（2）种方式解决争议：</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（1）向甲方所在地有管辖权的人民法院提起诉讼；</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（2）向泰州仲裁委员会按其仲裁规则申请仲裁。</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3.在诉讼期间，本合同应继续履行。</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第十四条：合同生效及其他</w:t>
      </w:r>
      <w:r/>
    </w:p>
    <w:p>
      <w:pPr>
        <w:numPr>
          <w:ilvl w:val="0"/>
          <w:numId w:val="0"/>
        </w:numPr>
        <w:jc w:val="left"/>
        <w:pageBreakBefore w:val="0"/>
        <w:spacing w:line="360" w:lineRule="auto"/>
        <w:widowControl/>
        <w:rPr>
          <w:rFonts w:ascii="宋体" w:hAnsi="宋体" w:cs="宋体"/>
          <w:highlight w:val="none"/>
        </w:rPr>
      </w:pPr>
      <w:r>
        <w:rPr>
          <w:rFonts w:hint="eastAsia" w:cs="宋体" w:asciiTheme="minorEastAsia" w:hAnsiTheme="minorEastAsia" w:eastAsiaTheme="minorEastAsia"/>
          <w:szCs w:val="21"/>
          <w:highlight w:val="none"/>
          <w:lang w:val="en-US" w:eastAsia="zh-CN"/>
        </w:rPr>
        <w:t xml:space="preserve">1.</w:t>
      </w:r>
      <w:r>
        <w:rPr>
          <w:rFonts w:hint="eastAsia" w:cs="宋体" w:asciiTheme="minorEastAsia" w:hAnsiTheme="minorEastAsia" w:eastAsiaTheme="minorEastAsia"/>
          <w:szCs w:val="21"/>
          <w:highlight w:val="none"/>
        </w:rPr>
        <w:t xml:space="preserve">本合同自签订之日起生效。</w:t>
      </w:r>
      <w:r/>
    </w:p>
    <w:p>
      <w:pPr>
        <w:numPr>
          <w:ilvl w:val="0"/>
          <w:numId w:val="0"/>
        </w:numPr>
        <w:jc w:val="left"/>
        <w:pageBreakBefore w:val="0"/>
        <w:spacing w:line="360" w:lineRule="auto"/>
        <w:widowControl/>
        <w:rPr>
          <w:rFonts w:ascii="宋体" w:hAnsi="宋体" w:cs="宋体"/>
          <w:highlight w:val="none"/>
        </w:rPr>
      </w:pPr>
      <w:r>
        <w:rPr>
          <w:rFonts w:hint="eastAsia" w:cs="宋体" w:asciiTheme="minorEastAsia" w:hAnsiTheme="minorEastAsia" w:eastAsiaTheme="minorEastAsia"/>
          <w:szCs w:val="21"/>
          <w:highlight w:val="none"/>
          <w:lang w:val="en-US" w:eastAsia="zh-CN"/>
        </w:rPr>
        <w:t xml:space="preserve">2.</w:t>
      </w:r>
      <w:r>
        <w:rPr>
          <w:rFonts w:hint="eastAsia" w:cs="宋体" w:asciiTheme="minorEastAsia" w:hAnsiTheme="minorEastAsia" w:eastAsiaTheme="minorEastAsia"/>
          <w:szCs w:val="21"/>
          <w:highlight w:val="none"/>
        </w:rPr>
        <w:t xml:space="preserve">本合同一式</w:t>
      </w:r>
      <w:r>
        <w:rPr>
          <w:rFonts w:hint="eastAsia" w:cs="宋体" w:asciiTheme="minorEastAsia" w:hAnsiTheme="minorEastAsia" w:eastAsiaTheme="minorEastAsia"/>
          <w:szCs w:val="21"/>
          <w:highlight w:val="none"/>
          <w:lang w:val="en-US" w:eastAsia="zh-CN"/>
        </w:rPr>
        <w:t xml:space="preserve">肆</w:t>
      </w:r>
      <w:r>
        <w:rPr>
          <w:rFonts w:hint="eastAsia" w:cs="宋体" w:asciiTheme="minorEastAsia" w:hAnsiTheme="minorEastAsia" w:eastAsiaTheme="minorEastAsia"/>
          <w:szCs w:val="21"/>
          <w:highlight w:val="none"/>
        </w:rPr>
        <w:t xml:space="preserve">份，甲乙双方各执贰份</w:t>
      </w:r>
      <w:r>
        <w:rPr>
          <w:rFonts w:hint="eastAsia" w:ascii="宋体" w:hAnsi="宋体" w:cs="宋体"/>
          <w:szCs w:val="21"/>
          <w:highlight w:val="none"/>
        </w:rPr>
        <w:t xml:space="preserve">。</w:t>
      </w:r>
      <w:r/>
    </w:p>
    <w:p>
      <w:pPr>
        <w:ind w:firstLine="420"/>
        <w:pageBreakBefore w:val="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3.本合同应按照中华人民共和国的现行法律进行解释。</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甲方（采购人）：  （盖章）              乙方（供应商）：  （盖章）</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法定代表人（委托代理人）：               法定代表人（委托代理人）：</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电话：                                  电话：</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开户银行：                               开户银行：</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账号：                                   账号：</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单位地址：                              单位地址：</w:t>
      </w:r>
      <w:r/>
    </w:p>
    <w:p>
      <w:pPr>
        <w:pStyle w:val="1188"/>
        <w:ind w:firstLine="4529"/>
        <w:pageBreakBefore w:val="0"/>
        <w:spacing w:line="360" w:lineRule="auto"/>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r>
      <w:r/>
    </w:p>
    <w:p>
      <w:pPr>
        <w:pStyle w:val="1188"/>
        <w:ind w:firstLine="4214"/>
        <w:jc w:val="right"/>
        <w:pageBreakBefore w:val="0"/>
        <w:spacing w:line="360" w:lineRule="auto"/>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r>
      <w:r/>
    </w:p>
    <w:p>
      <w:pPr>
        <w:pStyle w:val="1188"/>
        <w:ind w:right="420" w:firstLine="5264"/>
        <w:pageBreakBefore w:val="0"/>
        <w:spacing w:line="360" w:lineRule="auto"/>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日期：    年  月   日</w:t>
      </w:r>
      <w:r/>
    </w:p>
    <w:p>
      <w:pPr>
        <w:pStyle w:val="1185"/>
        <w:pageBreakBefore w:val="0"/>
        <w:spacing w:line="360" w:lineRule="auto"/>
        <w:rPr>
          <w:rFonts w:ascii="宋体" w:hAnsi="宋体"/>
          <w:szCs w:val="21"/>
          <w:highlight w:val="none"/>
        </w:rPr>
      </w:pPr>
      <w:r>
        <w:rPr>
          <w:rFonts w:ascii="宋体" w:hAnsi="宋体"/>
          <w:szCs w:val="21"/>
          <w:highlight w:val="none"/>
        </w:rPr>
      </w:r>
      <w:r/>
    </w:p>
    <w:p>
      <w:pPr>
        <w:ind w:firstLine="472"/>
        <w:pageBreakBefore w:val="0"/>
        <w:spacing w:line="360" w:lineRule="auto"/>
        <w:tabs>
          <w:tab w:val="left" w:pos="0" w:leader="none"/>
          <w:tab w:val="left" w:pos="993" w:leader="none"/>
          <w:tab w:val="left" w:pos="1134" w:leader="none"/>
        </w:tabs>
        <w:rPr>
          <w:rFonts w:hint="eastAsia" w:ascii="宋体" w:hAnsi="宋体" w:cs="宋体"/>
          <w:color w:val="auto"/>
          <w:szCs w:val="21"/>
          <w:highlight w:val="none"/>
          <w:lang w:val="zh-CN"/>
        </w:rPr>
        <w:sectPr>
          <w:footerReference w:type="default" r:id="rId17"/>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color w:val="auto"/>
          <w:szCs w:val="21"/>
          <w:highlight w:val="none"/>
          <w:lang w:val="zh-CN"/>
        </w:rPr>
      </w:r>
      <w:bookmarkEnd w:id="92"/>
      <w:r/>
      <w:bookmarkEnd w:id="93"/>
      <w:r/>
      <w:bookmarkEnd w:id="94"/>
      <w:r/>
      <w:bookmarkEnd w:id="95"/>
      <w:r/>
      <w:bookmarkEnd w:id="96"/>
      <w:r/>
      <w:bookmarkEnd w:id="97"/>
      <w:r/>
      <w:bookmarkEnd w:id="98"/>
      <w:r/>
      <w:bookmarkEnd w:id="99"/>
      <w:r/>
      <w:r/>
    </w:p>
    <w:p>
      <w:pPr>
        <w:pStyle w:val="1180"/>
        <w:numPr>
          <w:ilvl w:val="0"/>
          <w:numId w:val="2"/>
        </w:numPr>
        <w:ind w:firstLine="422"/>
        <w:jc w:val="center"/>
        <w:pageBreakBefore w:val="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 项目需求</w:t>
      </w:r>
      <w:bookmarkEnd w:id="90"/>
      <w:r/>
      <w:r/>
    </w:p>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p>
      <w:pPr>
        <w:pStyle w:val="1187"/>
        <w:numPr>
          <w:ilvl w:val="0"/>
          <w:numId w:val="4"/>
        </w:numPr>
        <w:ind w:firstLine="422"/>
        <w:pageBreakBefore w:val="0"/>
        <w:spacing w:line="360" w:lineRule="auto"/>
        <w:rPr>
          <w:rFonts w:hint="eastAsia" w:ascii="宋体" w:hAnsi="宋体" w:eastAsia="宋体" w:cs="宋体"/>
          <w:b/>
          <w:bCs/>
          <w:color w:val="auto"/>
          <w:sz w:val="21"/>
          <w:szCs w:val="21"/>
          <w:highlight w:val="none"/>
          <w:lang w:val="en-US" w:eastAsia="zh-CN" w:bidi="en-US"/>
        </w:rPr>
      </w:pPr>
      <w:r>
        <w:rPr>
          <w:rFonts w:hint="eastAsia" w:ascii="宋体" w:hAnsi="宋体" w:eastAsia="宋体" w:cs="宋体"/>
          <w:b/>
          <w:bCs/>
          <w:color w:val="auto"/>
          <w:sz w:val="21"/>
          <w:szCs w:val="21"/>
          <w:highlight w:val="none"/>
          <w:lang w:val="en-US" w:eastAsia="zh-CN" w:bidi="en-US"/>
        </w:rPr>
        <w:t xml:space="preserve">采购需求及技术参数</w:t>
      </w:r>
      <w:r/>
    </w:p>
    <w:p>
      <w:pPr>
        <w:numPr>
          <w:ilvl w:val="0"/>
          <w:numId w:val="0"/>
        </w:numPr>
        <w:jc w:val="center"/>
        <w:pageBreakBefore w:val="0"/>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生物医药产业园专职消防救援站消防通信器材，数量1批，最高限价12万元。</w:t>
      </w:r>
      <w:r/>
    </w:p>
    <w:tbl>
      <w:tblPr>
        <w:tblStyle w:val="118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6"/>
        <w:gridCol w:w="1475"/>
        <w:gridCol w:w="6332"/>
        <w:gridCol w:w="986"/>
      </w:tblGrid>
      <w:tr>
        <w:trPr>
          <w:jc w:val="center"/>
          <w:trHeight w:val="835"/>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pageBreakBefore w:val="0"/>
              <w:spacing w:line="360" w:lineRule="auto"/>
              <w:widowControl/>
              <w:rPr>
                <w:rFonts w:hint="eastAsia" w:ascii="宋体" w:hAnsi="宋体" w:eastAsia="宋体" w:cs="宋体"/>
                <w:i w:val="0"/>
                <w:iCs w:val="0"/>
                <w:color w:val="000000"/>
                <w:sz w:val="22"/>
                <w:szCs w:val="22"/>
                <w:highlight w:val="none"/>
                <w:u w:val="none"/>
              </w:rPr>
            </w:pPr>
            <w:r>
              <w:rPr>
                <w:rFonts w:hint="eastAsia" w:asciiTheme="minorEastAsia" w:hAnsiTheme="minorEastAsia" w:eastAsiaTheme="minorEastAsia" w:cstheme="minorEastAsia"/>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center"/>
              <w:pageBreakBefore w:val="0"/>
              <w:spacing w:line="360" w:lineRule="auto"/>
              <w:widowControl/>
              <w:rPr>
                <w:rFonts w:hint="eastAsia" w:ascii="宋体" w:hAnsi="宋体" w:eastAsia="宋体" w:cs="宋体"/>
                <w:i w:val="0"/>
                <w:iCs w:val="0"/>
                <w:color w:val="000000"/>
                <w:sz w:val="22"/>
                <w:szCs w:val="22"/>
                <w:highlight w:val="none"/>
                <w:u w:val="none"/>
              </w:rPr>
            </w:pPr>
            <w:r>
              <w:rPr>
                <w:rFonts w:hint="eastAsia" w:asciiTheme="minorEastAsia" w:hAnsiTheme="minorEastAsia" w:eastAsiaTheme="minorEastAsia" w:cstheme="minorEastAsia"/>
                <w:sz w:val="21"/>
                <w:szCs w:val="21"/>
                <w:highlight w:val="none"/>
                <w:lang w:val="en-US" w:eastAsia="zh-CN"/>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center"/>
              <w:pageBreakBefore w:val="0"/>
              <w:spacing w:line="360" w:lineRule="auto"/>
              <w:widowControl/>
              <w:rPr>
                <w:rFonts w:hint="eastAsia" w:ascii="宋体" w:hAnsi="宋体" w:eastAsia="宋体" w:cs="宋体"/>
                <w:i w:val="0"/>
                <w:iCs w:val="0"/>
                <w:color w:val="000000"/>
                <w:sz w:val="22"/>
                <w:szCs w:val="22"/>
                <w:highlight w:val="none"/>
                <w:u w:val="none"/>
              </w:rPr>
            </w:pPr>
            <w:r>
              <w:rPr>
                <w:rFonts w:hint="eastAsia" w:asciiTheme="minorEastAsia" w:hAnsiTheme="minorEastAsia" w:eastAsiaTheme="minorEastAsia" w:cstheme="minorEastAsia"/>
                <w:sz w:val="21"/>
                <w:szCs w:val="21"/>
                <w:highlight w:val="none"/>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pageBreakBefore w:val="0"/>
              <w:spacing w:line="360" w:lineRule="auto"/>
              <w:widowControl/>
              <w:rPr>
                <w:rFonts w:hint="eastAsia" w:ascii="宋体" w:hAnsi="宋体" w:eastAsia="宋体" w:cs="宋体"/>
                <w:i w:val="0"/>
                <w:iCs w:val="0"/>
                <w:color w:val="000000"/>
                <w:sz w:val="22"/>
                <w:szCs w:val="22"/>
                <w:highlight w:val="none"/>
                <w:u w:val="none"/>
              </w:rPr>
            </w:pPr>
            <w:r>
              <w:rPr>
                <w:rFonts w:hint="eastAsia" w:asciiTheme="minorEastAsia" w:hAnsiTheme="minorEastAsia" w:eastAsiaTheme="minorEastAsia" w:cstheme="minorEastAsia"/>
                <w:sz w:val="21"/>
                <w:szCs w:val="21"/>
                <w:highlight w:val="none"/>
                <w:lang w:val="en-US" w:eastAsia="zh-CN"/>
              </w:rPr>
              <w:t xml:space="preserve">数量（个/套）</w:t>
            </w:r>
            <w:r/>
          </w:p>
        </w:tc>
      </w:tr>
      <w:tr>
        <w:trPr>
          <w:jc w:val="center"/>
          <w:trHeight w:val="2375"/>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单兵图像传输设备（5G单兵）</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一、标准规范及检验报告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▲1、提供国家认可且具备相关检测资质的检测检验机构出具的</w:t>
            </w:r>
            <w:r>
              <w:rPr>
                <w:rFonts w:hint="eastAsia" w:ascii="宋体" w:hAnsi="宋体" w:cs="宋体"/>
                <w:i w:val="0"/>
                <w:iCs w:val="0"/>
                <w:color w:val="000000"/>
                <w:sz w:val="22"/>
                <w:szCs w:val="22"/>
                <w:highlight w:val="none"/>
                <w:u w:val="none"/>
                <w:lang w:val="en-US" w:eastAsia="zh-CN" w:bidi="ar"/>
              </w:rPr>
              <w:t xml:space="preserve">检测检验</w:t>
            </w:r>
            <w:r>
              <w:rPr>
                <w:rFonts w:hint="eastAsia" w:ascii="宋体" w:hAnsi="宋体" w:eastAsia="宋体" w:cs="宋体"/>
                <w:i w:val="0"/>
                <w:iCs w:val="0"/>
                <w:color w:val="000000"/>
                <w:sz w:val="22"/>
                <w:szCs w:val="22"/>
                <w:highlight w:val="none"/>
                <w:u w:val="none"/>
                <w:lang w:val="en-US" w:eastAsia="zh-CN" w:bidi="ar"/>
              </w:rPr>
              <w:t xml:space="preserve">报告，且报告完整有效。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1、设备应为专业的视频编码设备；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2、具有 GB/T28181 标准流的支持，使单兵可接入标准的第三方平台；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3、状态显示：具有显示屏；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4、支持通过第三方管理平台进行组会，实现指挥视频终端与图传终端的对讲；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5、支持单北斗定位；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6、支持字符叠加功能，可在输出的图像中编辑叠加中文文字和符号信息，信息应包括：时间、日期、定位、电量、设备位置等；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7、支持双MIC输入、双TF卡存储、双SIM卡传输；</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8、支持设置保存平台服务器地址和登录账号功能；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9、支持双向语音对讲；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10、支持双码流输出；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11、支持HDMI外接视频输入，分辨率不低于1080p；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12、音频接口：支持3.5mm接口、无线蓝牙音频输入；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13、支持接入中国移动、中国电信、中国联通4G、5G网络全网通；</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14、存储功能：支持本地录像TF卡存储，TF卡支持≥128G；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15、电池要求：内置锂电池供电，满电后支持连续工作时间≥6小时。设备要求支持在-10-50℃下能正常工作；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16、支持远程定位功能；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17、外壳防护等级支持IP68；</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18、符合江苏省消防总队互联网无线图传平台</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设备接入规范标准；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★19、提供承诺函，承诺可接入江苏省消防总队互联网无线图传平台，且中标后，配合完成设备接入江苏总队互联网平台工作，通过指挥视频终端可进行视频浏览、语音对讲、参数调整等操作；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20、配件：安全箱≥1、接口线≥1、外接摄像机（分辨率不低于1080p，含HDMI输出接口）≥1、配套三轴稳定器≥1、耳机（含麦克风）≥1、充电器≥1、128G内存卡≥1。</w:t>
            </w:r>
            <w:r>
              <w:rPr>
                <w:rFonts w:hint="eastAsia" w:ascii="宋体" w:hAnsi="宋体" w:cs="宋体"/>
                <w:b/>
                <w:bCs/>
                <w:i w:val="0"/>
                <w:iCs w:val="0"/>
                <w:color w:val="000000"/>
                <w:sz w:val="22"/>
                <w:szCs w:val="22"/>
                <w:highlight w:val="none"/>
                <w:u w:val="none"/>
                <w:lang w:val="en-US" w:eastAsia="zh-CN" w:bidi="ar"/>
              </w:rPr>
              <w:t xml:space="preserve">此项若未提供承诺函，将视为无效响应。</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1</w:t>
            </w:r>
            <w:r/>
          </w:p>
        </w:tc>
      </w:tr>
      <w:tr>
        <w:trPr>
          <w:jc w:val="center"/>
          <w:trHeight w:val="808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消防员单兵图侦系统（5G布控球）</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一、标准规范及检验报告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1、提供国家认可且具备相关检测资质的检测检验机构出具的</w:t>
            </w:r>
            <w:r>
              <w:rPr>
                <w:rFonts w:hint="eastAsia" w:ascii="宋体" w:hAnsi="宋体" w:cs="宋体"/>
                <w:i w:val="0"/>
                <w:iCs w:val="0"/>
                <w:color w:val="000000"/>
                <w:sz w:val="22"/>
                <w:szCs w:val="22"/>
                <w:highlight w:val="none"/>
                <w:u w:val="none"/>
                <w:lang w:val="en-US" w:eastAsia="zh-CN" w:bidi="ar"/>
              </w:rPr>
              <w:t xml:space="preserve">检测检验</w:t>
            </w:r>
            <w:r>
              <w:rPr>
                <w:rFonts w:hint="eastAsia" w:ascii="宋体" w:hAnsi="宋体" w:eastAsia="宋体" w:cs="宋体"/>
                <w:i w:val="0"/>
                <w:iCs w:val="0"/>
                <w:color w:val="000000"/>
                <w:sz w:val="22"/>
                <w:szCs w:val="22"/>
                <w:highlight w:val="none"/>
                <w:u w:val="none"/>
                <w:lang w:val="en-US" w:eastAsia="zh-CN" w:bidi="ar"/>
              </w:rPr>
              <w:t xml:space="preserve">报告，且报告完整有效。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1、产品要求：一体化结构设计，需集成高清云台摄像机、无线编码器、大容量电池、卫星定位、红外灯组等模块，具有设备提手，便于携带；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2、传输协议：支持GB/T28181、RTSP协议；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3、支持近距离红外补光；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4、除雾功能：支持镜头加热除雾；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5、卫星定位：支持单北斗定位模式，内置定位天线，支持将定位数据上传至服务器，同时支持可离线补传定位数据；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6、支持内置拾音器、扬声器；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7、设备要求支持在-10-50℃下能正常工作；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8、交互能力要求：支持通过第三方管理平台进行组会，实现指挥视频终端与图传终端的对讲；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9、网络适应性：支持动态码率调整，能够在带宽降低的情况下自动调整图像帧率和码率进行传输；</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10、支持视频双码流，双码流规格均至少支持1280x720/640x480；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11、支持图片抓拍，抓拍图片支持保存到本地或上传到服务器，且可在本地检索回放，图片分辨率至少支持1280x720/640x480；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12、有效像素≥200W，最大分辨率至少支持1080P</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1920x1080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，不低于25 帧/秒；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13、内置1路无线WIFI，支持APN和VPDN接入；支持航空插头转RJ45，有线网络支持10M/100M自适应；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14、内置蓝牙模块；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15、支持本地录像存储。存储格式具有流式文件和电脑通用文件格式可选，存储的录像文件支持通过有线和无线方式导出；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16、自带显示屏，支持5G信号、电池容量显示；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17、内置锂电池供电，满电后支持连续工作时间≥8小时；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18、支持远程配置设备参数，包括视频参数、网络参数、音频参数、定位参数、远程升级和恢复出厂设置等；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19、支持通过手机连接AP热点，并可实现预览视频，双向语音对讲，录像查询、回放，以及视频/网络/音频/定位等参数配置功能；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20、防护等级：防护等级不低于IP66；</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21、支持磁力吸附、固定支架、三脚架安装；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22、符合江苏省消防总队互联网无线图传平台</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设备接入规范标准；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★23、提供承诺函，承诺可接入江苏省消防总队互联网无线图传平台，且中标后，配合完成设备接入江苏总队互联网平台工作，通过指挥视频终端可进行视频浏览、语音对讲、参数调整等操作；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24、配件：安全箱≥1、接口线≥1、三脚架固定圆盘≥1、蓝牙耳机≥1、手咪≥1、充电器≥1、128G内存卡≥1。</w:t>
            </w:r>
            <w:r>
              <w:rPr>
                <w:rFonts w:hint="eastAsia" w:ascii="宋体" w:hAnsi="宋体" w:cs="宋体"/>
                <w:b/>
                <w:bCs/>
                <w:i w:val="0"/>
                <w:iCs w:val="0"/>
                <w:color w:val="000000"/>
                <w:sz w:val="22"/>
                <w:szCs w:val="22"/>
                <w:highlight w:val="none"/>
                <w:u w:val="none"/>
                <w:lang w:val="en-US" w:eastAsia="zh-CN" w:bidi="ar"/>
              </w:rPr>
              <w:t xml:space="preserve">此项若未提供承诺函，将视为无效响应。</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608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小型飞行器（双光无人机）</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vMerge w:val="restart"/>
            <w:textDirection w:val="lrTb"/>
            <w:noWrap w:val="false"/>
          </w:tcPr>
          <w:p>
            <w:pPr>
              <w:numPr>
                <w:ilvl w:val="0"/>
                <w:numId w:val="5"/>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标准规范及检验报告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1、提供国家认可且具备相关检测资质的检测检验机构出具的</w:t>
            </w:r>
            <w:r>
              <w:rPr>
                <w:rFonts w:hint="eastAsia" w:ascii="宋体" w:hAnsi="宋体" w:cs="宋体"/>
                <w:i w:val="0"/>
                <w:iCs w:val="0"/>
                <w:color w:val="000000"/>
                <w:sz w:val="22"/>
                <w:szCs w:val="22"/>
                <w:highlight w:val="none"/>
                <w:u w:val="none"/>
                <w:lang w:val="en-US" w:eastAsia="zh-CN" w:bidi="ar"/>
              </w:rPr>
              <w:t xml:space="preserve">检测检验</w:t>
            </w:r>
            <w:r>
              <w:rPr>
                <w:rFonts w:hint="eastAsia" w:ascii="宋体" w:hAnsi="宋体" w:eastAsia="宋体" w:cs="宋体"/>
                <w:i w:val="0"/>
                <w:iCs w:val="0"/>
                <w:color w:val="000000"/>
                <w:sz w:val="22"/>
                <w:szCs w:val="22"/>
                <w:highlight w:val="none"/>
                <w:u w:val="none"/>
                <w:lang w:val="en-US" w:eastAsia="zh-CN" w:bidi="ar"/>
              </w:rPr>
              <w:t xml:space="preserve">报告，且报告完整有效。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1、飞行器折叠尺寸</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长X宽X高）≤275*180*130mm；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2、轴距≤490mm；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3、最长飞行时间</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无风环境</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不低于38分钟</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1块电池）；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4、避障行为：无人机系统应支持在水平（前后左右）、上方、下方设置告警距离与自动刹停距离，且飞行器避障行为可设置为刹停或自动绕行（自动绕开障碍物）；</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5、可见光数码变焦倍数：无人机系统应具备不低于16倍混合变焦的性能；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6、成像相机传感器分辨率：无人机系统配备的红外相机传感器分辨率不低于640*512；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7、广角相机传感器：无人机系统配备的广角相机，可见光传感器：≥1/2英寸CMOS；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8、相机像素：有效像素应不低于1200万；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9、最大上升速度不小于：6 米/秒；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10、最大下降速度不小于：4 米/秒；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11、最大水平飞行速度不小于（海平面附近无风）：前飞：20 米/秒；</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t xml:space="preserve">最大抗风速度不小于：12 米/秒；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13、最大起飞海拔高度不小于：4000米（空载飞行）；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14、最大续航里程不小于：20 公里；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15、最大可倾斜角度不小于：33°；</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16、最大旋转角速度不小于：100°/s；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17、悬停精度（无风或微风环境）：垂直：±0.1 米（视觉定位正常工作时）；±0.5 米（GNSS 正常工作时）；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18、水平：±0.3 米（视觉定位正常工作时）；±0.5 米（高精度定位系统正常工作时）；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19、工作环境温度：-10°C 至 40°C；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20、内置夜航灯；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21、具有热红外、广角一体相机；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22、支持单北斗模式。</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554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防爆双模终端</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一、标准规范及检验报告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▲1、提供国家认可且具备相关检测资质的检测检验机构出具的</w:t>
            </w:r>
            <w:r>
              <w:rPr>
                <w:rFonts w:hint="eastAsia" w:ascii="宋体" w:hAnsi="宋体" w:cs="宋体"/>
                <w:i w:val="0"/>
                <w:iCs w:val="0"/>
                <w:color w:val="000000"/>
                <w:sz w:val="22"/>
                <w:szCs w:val="22"/>
                <w:highlight w:val="none"/>
                <w:u w:val="none"/>
                <w:lang w:val="en-US" w:eastAsia="zh-CN" w:bidi="ar"/>
              </w:rPr>
              <w:t xml:space="preserve">检测检验</w:t>
            </w:r>
            <w:r>
              <w:rPr>
                <w:rFonts w:hint="eastAsia" w:ascii="宋体" w:hAnsi="宋体" w:eastAsia="宋体" w:cs="宋体"/>
                <w:i w:val="0"/>
                <w:iCs w:val="0"/>
                <w:color w:val="000000"/>
                <w:sz w:val="22"/>
                <w:szCs w:val="22"/>
                <w:highlight w:val="none"/>
                <w:u w:val="none"/>
                <w:lang w:val="en-US" w:eastAsia="zh-CN" w:bidi="ar"/>
              </w:rPr>
              <w:t xml:space="preserve">报告，且报告完整有效。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1、窄带频率范围：350-400MHz；信道容量：≥1024；信道间隔：12.5KHz/25KHz；工作电压：≥7.2V；电池容量：≥2400mAh；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2、至少支持模拟常规、模拟集群、数字常规、数字集群、公网PoC集群5种工作模式；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3、防爆等级：≥Ex ib IIB T4 Gb；</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4、内置定位模块，须支持北斗定位系统；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5、内置蓝牙模块；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6、屏幕尺寸大于2.4英寸，屏幕分辨率不低于320*240；可显示通话组名、电量、时间、集群信号及定位图标等关键信息；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7、支持Wifi无线连接功能；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8、安卓系统版本：不低于安卓7.0；处理器：不低于四核处理器，主频不低于：1.1GHz；</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9、防尘防水等级：≥IP67；</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10、支持多种定位功能，如主动上报定位信息、通话中上报定位信息、能识别讲话方位置信息显示等；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11、定位信息支持菜单查询，位置信息包含经纬度、日期、时间等；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12、支持软件升级、空口写频等操作；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13、支持多功能专用旋钮：支持音量调节、按下调节信道/切换联系人；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14、支持公网与PDT/DMR专网系统深度融合，实现公网与专网的互联互通，无论终端登记在专网还是公网，实现一机一号；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15、支持组呼、个呼、强拆插、呼叫转移、呼叫显示、呼叫限制、呼叫排队、呼叫并入、迟后进入、动态重组、环境侦听、通话提示、背景组、遥晕、遥毙、单站集群提示、超出服务区显示等功能；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功能要求：电台需满足大队集群频道通讯，满足一级网调度并可在后台查询；并负责具体接入工作。后续为应急370M提供升级服务；配备加密卡及国产化声码器，满足公专融合平台互联通讯功能；并配置提供后台查询数据参数功能。</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bl>
    <w:p>
      <w:pPr>
        <w:rPr>
          <w:highlight w:val="none"/>
        </w:rPr>
      </w:pPr>
      <w:r>
        <w:rPr>
          <w:highlight w:val="none"/>
        </w:rPr>
      </w:r>
      <w:r/>
    </w:p>
    <w:p>
      <w:pPr>
        <w:pStyle w:val="1208"/>
        <w:numPr>
          <w:ilvl w:val="0"/>
          <w:numId w:val="0"/>
        </w:numPr>
        <w:contextualSpacing w:val="0"/>
        <w:ind w:right="238" w:firstLine="422"/>
        <w:jc w:val="both"/>
        <w:keepLines/>
        <w:keepNext/>
        <w:pageBreakBefore w:val="0"/>
        <w:spacing w:line="360" w:lineRule="auto"/>
        <w:widowControl w:val="off"/>
        <w:rPr>
          <w:rFonts w:hint="eastAsia" w:ascii="宋体" w:hAnsi="宋体" w:cs="宋体"/>
          <w:b/>
          <w:bCs/>
          <w:color w:val="auto"/>
          <w:sz w:val="21"/>
          <w:szCs w:val="21"/>
          <w:highlight w:val="none"/>
          <w:lang w:val="en-US" w:eastAsia="zh-CN"/>
        </w:rPr>
        <w:outlineLvl w:val="2"/>
      </w:pPr>
      <w:r>
        <w:rPr>
          <w:rFonts w:hint="eastAsia" w:ascii="宋体" w:hAnsi="宋体" w:cs="宋体"/>
          <w:b/>
          <w:bCs/>
          <w:color w:val="auto"/>
          <w:sz w:val="21"/>
          <w:szCs w:val="21"/>
          <w:highlight w:val="none"/>
          <w:lang w:val="en-US" w:eastAsia="zh-CN"/>
        </w:rPr>
      </w:r>
      <w:r/>
    </w:p>
    <w:p>
      <w:pPr>
        <w:pStyle w:val="1182"/>
        <w:pageBreakBefore w:val="0"/>
        <w:spacing w:before="0" w:after="0" w:line="360" w:lineRule="auto"/>
        <w:rPr>
          <w:rFonts w:hint="eastAsia" w:eastAsia="宋体" w:cs="宋体"/>
          <w:bCs/>
          <w:sz w:val="21"/>
          <w:szCs w:val="21"/>
          <w:highlight w:val="none"/>
          <w:lang w:val="en-US" w:eastAsia="zh-CN"/>
        </w:rPr>
      </w:pPr>
      <w:r>
        <w:rPr>
          <w:rFonts w:hint="eastAsia" w:cs="宋体"/>
          <w:bCs/>
          <w:sz w:val="21"/>
          <w:szCs w:val="21"/>
          <w:highlight w:val="none"/>
          <w:lang w:val="en-US" w:eastAsia="zh-CN"/>
        </w:rPr>
        <w:t xml:space="preserve">二</w:t>
      </w:r>
      <w:r>
        <w:rPr>
          <w:rFonts w:hint="eastAsia" w:cs="宋体"/>
          <w:bCs/>
          <w:sz w:val="21"/>
          <w:szCs w:val="21"/>
          <w:highlight w:val="none"/>
        </w:rPr>
        <w:t xml:space="preserve">、</w:t>
      </w:r>
      <w:r>
        <w:rPr>
          <w:rFonts w:hint="eastAsia" w:cs="宋体"/>
          <w:bCs/>
          <w:sz w:val="21"/>
          <w:szCs w:val="21"/>
          <w:highlight w:val="none"/>
          <w:lang w:val="en-US" w:eastAsia="zh-CN"/>
        </w:rPr>
        <w:t xml:space="preserve">采购需求</w:t>
      </w:r>
      <w:r>
        <w:rPr>
          <w:rFonts w:hint="eastAsia" w:cs="宋体"/>
          <w:bCs/>
          <w:sz w:val="21"/>
          <w:szCs w:val="21"/>
          <w:highlight w:val="none"/>
        </w:rPr>
        <w:t xml:space="preserve">相关</w:t>
      </w:r>
      <w:r>
        <w:rPr>
          <w:rFonts w:hint="eastAsia" w:cs="宋体"/>
          <w:bCs/>
          <w:sz w:val="21"/>
          <w:szCs w:val="21"/>
          <w:highlight w:val="none"/>
          <w:lang w:val="en-US" w:eastAsia="zh-CN"/>
        </w:rPr>
        <w:t xml:space="preserve">要求</w:t>
      </w:r>
      <w:r/>
    </w:p>
    <w:p>
      <w:pPr>
        <w:pStyle w:val="1185"/>
        <w:pageBreakBefore w:val="0"/>
        <w:spacing w:line="360" w:lineRule="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供应商交货时必须同时提供整车操作、使用、说明、注意事项教学光盘（或U盘），涉及进口部件时，须提供报关单等进口证明材料。</w:t>
      </w:r>
      <w:r/>
    </w:p>
    <w:p>
      <w:pPr>
        <w:pStyle w:val="1185"/>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w:t>
      </w:r>
      <w:r>
        <w:rPr>
          <w:rFonts w:hint="eastAsia" w:ascii="宋体" w:hAnsi="宋体"/>
          <w:szCs w:val="21"/>
          <w:highlight w:val="none"/>
        </w:rPr>
        <w:t xml:space="preserve">供应商</w:t>
      </w:r>
      <w:r>
        <w:rPr>
          <w:rFonts w:ascii="宋体" w:hAnsi="宋体"/>
          <w:szCs w:val="21"/>
          <w:highlight w:val="none"/>
        </w:rPr>
        <w:t xml:space="preserve">所供装备保证是全新的、未使用过的，完全符合合同规定的质量、规格型号和性能要求。保证所提供的装备经正确安装、正常运转和保养，在其使用寿命期内应符合合同约定的性能，</w:t>
      </w:r>
      <w:r>
        <w:rPr>
          <w:rFonts w:hint="eastAsia" w:ascii="宋体" w:hAnsi="宋体"/>
          <w:szCs w:val="21"/>
          <w:highlight w:val="none"/>
          <w:lang w:eastAsia="zh-CN"/>
        </w:rPr>
        <w:t xml:space="preserve">并</w:t>
      </w:r>
      <w:r>
        <w:rPr>
          <w:rFonts w:ascii="宋体" w:hAnsi="宋体"/>
          <w:szCs w:val="21"/>
          <w:highlight w:val="none"/>
        </w:rPr>
        <w:t xml:space="preserve">确保通过各项检验和测试。在装备质量保证期内，</w:t>
      </w:r>
      <w:r>
        <w:rPr>
          <w:rFonts w:hint="eastAsia" w:ascii="宋体" w:hAnsi="宋体"/>
          <w:szCs w:val="21"/>
          <w:highlight w:val="none"/>
        </w:rPr>
        <w:t xml:space="preserve">供应商</w:t>
      </w:r>
      <w:r>
        <w:rPr>
          <w:rFonts w:ascii="宋体" w:hAnsi="宋体"/>
          <w:szCs w:val="21"/>
          <w:highlight w:val="none"/>
        </w:rPr>
        <w:t xml:space="preserve">应对由于设计、工艺、材料和配套件缺陷所产生的任何不足或故障负责（如因装备质量缺陷等问题导致消防员在使用过程中发生伤亡的，由供应商负责一切后果，并承担法律责任）。</w:t>
      </w:r>
      <w:r/>
    </w:p>
    <w:p>
      <w:pPr>
        <w:pStyle w:val="1185"/>
        <w:pageBreakBefore w:val="0"/>
        <w:spacing w:line="360" w:lineRule="auto"/>
        <w:rPr>
          <w:rFonts w:hint="eastAsia" w:ascii="宋体" w:hAnsi="宋体"/>
          <w:b/>
          <w:szCs w:val="21"/>
          <w:highlight w:val="none"/>
        </w:rPr>
      </w:pPr>
      <w:r>
        <w:rPr>
          <w:rFonts w:ascii="宋体" w:hAnsi="宋体"/>
          <w:b/>
          <w:szCs w:val="21"/>
          <w:highlight w:val="none"/>
        </w:rPr>
        <w:t xml:space="preserve">3.</w:t>
      </w:r>
      <w:r>
        <w:rPr>
          <w:rFonts w:hint="eastAsia" w:ascii="宋体" w:hAnsi="宋体"/>
          <w:b/>
          <w:szCs w:val="21"/>
          <w:highlight w:val="none"/>
        </w:rPr>
        <w:t xml:space="preserve">每个标段所投货物名称必须与</w:t>
      </w:r>
      <w:r>
        <w:rPr>
          <w:rFonts w:hint="eastAsia" w:ascii="宋体" w:hAnsi="宋体"/>
          <w:b/>
          <w:szCs w:val="21"/>
          <w:highlight w:val="none"/>
          <w:lang w:eastAsia="zh-CN"/>
        </w:rPr>
        <w:t xml:space="preserve">采购文件</w:t>
      </w:r>
      <w:r>
        <w:rPr>
          <w:rFonts w:hint="eastAsia" w:ascii="宋体" w:hAnsi="宋体"/>
          <w:b/>
          <w:szCs w:val="21"/>
          <w:highlight w:val="none"/>
        </w:rPr>
        <w:t xml:space="preserve">一致</w:t>
      </w:r>
      <w:r>
        <w:rPr>
          <w:rFonts w:hint="eastAsia" w:ascii="宋体" w:hAnsi="宋体"/>
          <w:b/>
          <w:szCs w:val="21"/>
          <w:highlight w:val="none"/>
          <w:lang w:eastAsia="zh-CN"/>
        </w:rPr>
        <w:t xml:space="preserve">。</w:t>
      </w:r>
      <w:r/>
    </w:p>
    <w:p>
      <w:pPr>
        <w:pStyle w:val="1185"/>
        <w:pageBreakBefore w:val="0"/>
        <w:spacing w:line="360" w:lineRule="auto"/>
        <w:rPr>
          <w:rFonts w:ascii="宋体" w:hAnsi="宋体"/>
          <w:b w:val="0"/>
          <w:sz w:val="21"/>
          <w:szCs w:val="21"/>
          <w:highlight w:val="none"/>
        </w:rPr>
      </w:pPr>
      <w:r>
        <w:rPr>
          <w:rFonts w:hint="eastAsia" w:ascii="宋体" w:hAnsi="宋体"/>
          <w:b/>
          <w:szCs w:val="21"/>
          <w:highlight w:val="none"/>
          <w:lang w:val="en-US" w:eastAsia="zh-CN"/>
        </w:rPr>
        <w:t xml:space="preserve">4.</w:t>
      </w:r>
      <w:r>
        <w:rPr>
          <w:rFonts w:hint="eastAsia" w:ascii="宋体" w:hAnsi="宋体"/>
          <w:szCs w:val="21"/>
          <w:highlight w:val="none"/>
          <w:lang w:val="en-US" w:eastAsia="zh-CN"/>
        </w:rPr>
        <w:t xml:space="preserve">.</w:t>
      </w:r>
      <w:r>
        <w:rPr>
          <w:rFonts w:hint="eastAsia" w:ascii="宋体" w:hAnsi="宋体"/>
          <w:b w:val="0"/>
          <w:sz w:val="21"/>
          <w:szCs w:val="21"/>
          <w:highlight w:val="none"/>
        </w:rPr>
        <w:t xml:space="preserve">采购文件及清单中涉及的产品品牌或型号，是采购人根据项目所要实现的功能推荐的品牌或型号，并不是限制条件，供应商可以采用不低于推荐产品品牌或档次的货物参与竞争。</w:t>
      </w:r>
      <w:r/>
    </w:p>
    <w:p>
      <w:pPr>
        <w:ind w:firstLine="420"/>
        <w:keepLines w:val="0"/>
        <w:keepNext w:val="0"/>
        <w:pageBreakBefore w:val="0"/>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szCs w:val="21"/>
          <w:highlight w:val="none"/>
          <w:lang w:val="en-US" w:eastAsia="zh-CN"/>
        </w:rPr>
        <w:t xml:space="preserve">5</w:t>
      </w:r>
      <w:r>
        <w:rPr>
          <w:rFonts w:hint="eastAsia" w:ascii="宋体" w:hAnsi="宋体"/>
          <w:szCs w:val="21"/>
          <w:highlight w:val="none"/>
        </w:rPr>
        <w:t xml:space="preserve">.供应商应认真阅读磋商文件中所有的事项、格式、条款和规范等要求。</w:t>
      </w:r>
      <w:r>
        <w:rPr>
          <w:rFonts w:hint="eastAsia" w:ascii="宋体" w:hAnsi="宋体"/>
          <w:b/>
          <w:bCs/>
          <w:i/>
          <w:iCs/>
          <w:szCs w:val="21"/>
          <w:highlight w:val="none"/>
        </w:rPr>
        <w:t xml:space="preserve">详细技术参数均必须逐条按顺序在《技术响应偏离表》中响应，且《技术响应偏离表》中填写的“采购要求”内容不得修改磋商文件的内容，否则技术评审中的“技术参数响应性”项不得分。</w:t>
      </w:r>
      <w:r>
        <w:rPr>
          <w:rFonts w:hint="eastAsia" w:ascii="宋体" w:hAnsi="宋体"/>
          <w:szCs w:val="21"/>
          <w:highlight w:val="none"/>
        </w:rPr>
        <w:t xml:space="preserve">如果供应商没有按照磋商文件要</w:t>
      </w:r>
      <w:r>
        <w:rPr>
          <w:rFonts w:hint="eastAsia" w:ascii="宋体" w:hAnsi="宋体"/>
          <w:szCs w:val="21"/>
          <w:highlight w:val="none"/>
          <w:lang w:val="en-US" w:eastAsia="zh-CN"/>
        </w:rPr>
        <w:t xml:space="preserve">求提交全部资料或者投标文件没有对磋商文件在各方面都作出实质性响应，是供应商的风险。</w:t>
      </w:r>
      <w:r/>
    </w:p>
    <w:p>
      <w:pPr>
        <w:pStyle w:val="1187"/>
        <w:ind w:firstLine="422"/>
        <w:keepLines w:val="0"/>
        <w:keepNext w:val="0"/>
        <w:pageBreakBefore w:val="0"/>
        <w:spacing w:line="360" w:lineRule="auto"/>
        <w:widowControl w:val="off"/>
        <w:rPr>
          <w:rFonts w:hint="default" w:ascii="宋体" w:hAnsi="宋体" w:eastAsia="宋体" w:cs="Times New Roman"/>
          <w:b/>
          <w:sz w:val="21"/>
          <w:szCs w:val="21"/>
          <w:highlight w:val="none"/>
          <w:lang w:val="en-US" w:eastAsia="zh-CN" w:bidi="ar-SA"/>
        </w:rPr>
      </w:pPr>
      <w:r>
        <w:rPr>
          <w:rFonts w:hint="eastAsia" w:ascii="宋体" w:hAnsi="宋体" w:cs="Times New Roman"/>
          <w:b/>
          <w:sz w:val="21"/>
          <w:szCs w:val="21"/>
          <w:highlight w:val="none"/>
          <w:lang w:val="en-US" w:eastAsia="zh-CN" w:bidi="ar-SA"/>
        </w:rPr>
        <w:t xml:space="preserve">6</w:t>
      </w:r>
      <w:r>
        <w:rPr>
          <w:rFonts w:hint="eastAsia" w:ascii="宋体" w:hAnsi="宋体" w:eastAsia="宋体" w:cs="Times New Roman"/>
          <w:b/>
          <w:sz w:val="21"/>
          <w:szCs w:val="21"/>
          <w:highlight w:val="none"/>
          <w:lang w:val="en-US" w:eastAsia="zh-CN" w:bidi="ar-SA"/>
        </w:rPr>
        <w:t xml:space="preserve">.供应商要充分考虑知识产权问题，由于采购人在其本国使用成交供应商设备或设备任何一部分时而引起第三方提出的侵犯专利权、商标权或工业设计权的起诉、行政程序索赔等由成交供应商承担，以及采购人为此而产生的损失和损害、费用和支出（包括律师费）均由成交供应商承担。</w:t>
      </w:r>
      <w:r/>
    </w:p>
    <w:p>
      <w:pPr>
        <w:jc w:val="left"/>
        <w:keepLines w:val="0"/>
        <w:keepNext w:val="0"/>
        <w:pageBreakBefore w:val="0"/>
        <w:spacing w:line="360" w:lineRule="auto"/>
        <w:widowControl w:val="off"/>
        <w:rPr>
          <w:rFonts w:hint="default" w:ascii="宋体" w:hAnsi="宋体" w:eastAsia="宋体" w:cs="Times New Roman"/>
          <w:b/>
          <w:sz w:val="21"/>
          <w:szCs w:val="21"/>
          <w:highlight w:val="none"/>
          <w:lang w:val="en-US" w:eastAsia="zh-CN" w:bidi="ar-SA"/>
        </w:rPr>
      </w:pPr>
      <w:r>
        <w:rPr>
          <w:rFonts w:hint="eastAsia" w:ascii="宋体" w:hAnsi="宋体" w:cs="Times New Roman"/>
          <w:b/>
          <w:sz w:val="21"/>
          <w:szCs w:val="21"/>
          <w:highlight w:val="none"/>
          <w:lang w:val="en-US" w:eastAsia="zh-CN" w:bidi="ar-SA"/>
        </w:rPr>
        <w:t xml:space="preserve">三</w:t>
      </w:r>
      <w:r>
        <w:rPr>
          <w:rFonts w:hint="eastAsia" w:ascii="宋体" w:hAnsi="宋体" w:eastAsia="宋体" w:cs="Times New Roman"/>
          <w:b/>
          <w:sz w:val="21"/>
          <w:szCs w:val="21"/>
          <w:highlight w:val="none"/>
          <w:lang w:val="en-US" w:eastAsia="zh-CN" w:bidi="ar-SA"/>
        </w:rPr>
        <w:t xml:space="preserve">、</w:t>
      </w:r>
      <w:r>
        <w:rPr>
          <w:rFonts w:hint="eastAsia" w:ascii="宋体" w:hAnsi="宋体" w:cs="Times New Roman"/>
          <w:b/>
          <w:sz w:val="21"/>
          <w:szCs w:val="21"/>
          <w:highlight w:val="none"/>
          <w:lang w:val="en-US" w:eastAsia="zh-CN" w:bidi="ar-SA"/>
        </w:rPr>
        <w:t xml:space="preserve">供货及质保期限</w:t>
      </w:r>
      <w:r/>
    </w:p>
    <w:p>
      <w:pPr>
        <w:ind w:firstLine="411"/>
        <w:jc w:val="left"/>
        <w:pageBreakBefore w:val="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自签订合同之日起</w:t>
      </w:r>
      <w:r>
        <w:rPr>
          <w:rFonts w:hint="eastAsia" w:ascii="宋体" w:hAnsi="宋体"/>
          <w:szCs w:val="21"/>
          <w:highlight w:val="none"/>
          <w:lang w:val="en-US" w:eastAsia="zh-CN"/>
        </w:rPr>
        <w:t xml:space="preserve">60</w:t>
      </w:r>
      <w:r>
        <w:rPr>
          <w:rFonts w:ascii="宋体" w:hAnsi="宋体"/>
          <w:szCs w:val="21"/>
          <w:highlight w:val="none"/>
        </w:rPr>
        <w:t xml:space="preserve">日内完成供货</w:t>
      </w:r>
      <w:r>
        <w:rPr>
          <w:rFonts w:hint="eastAsia" w:ascii="宋体" w:hAnsi="宋体"/>
          <w:szCs w:val="21"/>
          <w:highlight w:val="none"/>
        </w:rPr>
        <w:t xml:space="preserve">。交货时甲乙双方均要有</w:t>
      </w:r>
      <w:r>
        <w:rPr>
          <w:rFonts w:hint="eastAsia" w:ascii="宋体" w:hAnsi="宋体"/>
          <w:szCs w:val="21"/>
          <w:highlight w:val="none"/>
          <w:lang w:val="en-US" w:eastAsia="zh-CN"/>
        </w:rPr>
        <w:t xml:space="preserve">代表</w:t>
      </w:r>
      <w:r>
        <w:rPr>
          <w:rFonts w:hint="eastAsia" w:ascii="宋体" w:hAnsi="宋体"/>
          <w:szCs w:val="21"/>
          <w:highlight w:val="none"/>
        </w:rPr>
        <w:t xml:space="preserve">在场负责清点移交。</w:t>
      </w:r>
      <w:r/>
    </w:p>
    <w:p>
      <w:pPr>
        <w:ind w:firstLine="420"/>
        <w:pageBreakBefore w:val="0"/>
        <w:spacing w:line="360" w:lineRule="auto"/>
        <w:rPr>
          <w:rFonts w:hint="eastAsia" w:ascii="宋体" w:hAnsi="宋体" w:cs="宋体"/>
          <w:color w:val="auto"/>
          <w:szCs w:val="21"/>
          <w:highlight w:val="none"/>
        </w:rPr>
      </w:pPr>
      <w:r>
        <w:rPr>
          <w:rFonts w:hint="eastAsia" w:ascii="宋体" w:hAnsi="宋体"/>
          <w:szCs w:val="21"/>
          <w:highlight w:val="none"/>
          <w:lang w:val="en-US" w:eastAsia="zh-CN"/>
        </w:rPr>
        <w:t xml:space="preserve">2.</w:t>
      </w:r>
      <w:r>
        <w:rPr>
          <w:rFonts w:hint="eastAsia" w:ascii="宋体" w:hAnsi="宋体" w:cs="宋体"/>
          <w:color w:val="auto"/>
          <w:szCs w:val="21"/>
          <w:highlight w:val="none"/>
          <w:lang w:val="en-US" w:eastAsia="zh-CN"/>
        </w:rPr>
        <w:t xml:space="preserve">交货</w:t>
      </w:r>
      <w:r>
        <w:rPr>
          <w:rFonts w:hint="eastAsia" w:ascii="宋体" w:hAnsi="宋体" w:cs="宋体"/>
          <w:color w:val="auto"/>
          <w:szCs w:val="21"/>
          <w:highlight w:val="none"/>
        </w:rPr>
        <w:t xml:space="preserve">地点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由采购人指定。</w:t>
      </w:r>
      <w:r/>
    </w:p>
    <w:p>
      <w:pPr>
        <w:pStyle w:val="1187"/>
        <w:ind w:firstLine="422"/>
        <w:rPr>
          <w:rFonts w:hint="default" w:eastAsia="宋体"/>
          <w:highlight w:val="none"/>
          <w:lang w:val="en-US" w:eastAsia="zh-CN"/>
        </w:rPr>
      </w:pPr>
      <w:r>
        <w:rPr>
          <w:rFonts w:hint="eastAsia" w:ascii="宋体" w:hAnsi="宋体"/>
          <w:b/>
          <w:bCs/>
          <w:szCs w:val="21"/>
          <w:highlight w:val="none"/>
          <w:lang w:val="en-US" w:eastAsia="zh-CN"/>
        </w:rPr>
        <w:t xml:space="preserve">3.</w:t>
      </w:r>
      <w:r>
        <w:rPr>
          <w:rFonts w:hint="eastAsia" w:asciiTheme="minorEastAsia" w:hAnsiTheme="minorEastAsia" w:eastAsiaTheme="minorEastAsia"/>
          <w:b/>
          <w:szCs w:val="21"/>
          <w:highlight w:val="none"/>
        </w:rPr>
        <w:t xml:space="preserve">消防器材质保期：</w:t>
      </w:r>
      <w:r>
        <w:rPr>
          <w:rFonts w:hint="eastAsia" w:ascii="宋体" w:hAnsi="宋体"/>
          <w:szCs w:val="21"/>
          <w:highlight w:val="none"/>
        </w:rPr>
        <w:t xml:space="preserve">不得低于</w:t>
      </w:r>
      <w:r>
        <w:rPr>
          <w:rFonts w:hint="eastAsia" w:ascii="宋体" w:hAnsi="宋体"/>
          <w:szCs w:val="21"/>
          <w:highlight w:val="none"/>
          <w:u w:val="single"/>
        </w:rPr>
        <w:t xml:space="preserve"> 3 </w:t>
      </w:r>
      <w:r>
        <w:rPr>
          <w:rFonts w:hint="eastAsia" w:ascii="宋体" w:hAnsi="宋体"/>
          <w:szCs w:val="21"/>
          <w:highlight w:val="none"/>
        </w:rPr>
        <w:t xml:space="preserve">年（自验收合格之日起开始计算）。</w:t>
      </w:r>
      <w:r/>
    </w:p>
    <w:p>
      <w:pPr>
        <w:pStyle w:val="1187"/>
        <w:rPr>
          <w:rFonts w:ascii="宋体" w:hAnsi="宋体" w:eastAsia="宋体"/>
          <w:b/>
          <w:sz w:val="21"/>
          <w:szCs w:val="21"/>
          <w:highlight w:val="none"/>
        </w:rPr>
      </w:pPr>
      <w:r>
        <w:rPr>
          <w:rFonts w:hint="eastAsia" w:ascii="宋体" w:hAnsi="宋体"/>
          <w:b/>
          <w:sz w:val="21"/>
          <w:szCs w:val="21"/>
          <w:highlight w:val="none"/>
          <w:lang w:val="en-US" w:eastAsia="zh-CN"/>
        </w:rPr>
        <w:t xml:space="preserve">四</w:t>
      </w:r>
      <w:r>
        <w:rPr>
          <w:rFonts w:hint="eastAsia" w:ascii="宋体" w:hAnsi="宋体" w:eastAsia="宋体"/>
          <w:b/>
          <w:sz w:val="21"/>
          <w:szCs w:val="21"/>
          <w:highlight w:val="none"/>
        </w:rPr>
        <w:t xml:space="preserve">、质量与验收</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成交供应商应按照本采购文件及采购合同的有关规定提供合格产品；</w:t>
      </w:r>
      <w:r/>
    </w:p>
    <w:p>
      <w:pPr>
        <w:pStyle w:val="1209"/>
        <w:jc w:val="left"/>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货物的验收包括：数量、外观、质量、性能、随机备件备品、装箱单、随机资料及包装；所有设备和附（配）件应符合其规定的性能，无瑕疵和缺陷，质量为合格产品，同时有明确的生产制造厂商。成交供应商对质量问题负责包修、包换和包退，因此发生的费用由成交供应商自行</w:t>
      </w:r>
      <w:r>
        <w:rPr>
          <w:rFonts w:hint="eastAsia" w:ascii="宋体" w:hAnsi="宋体"/>
          <w:szCs w:val="21"/>
          <w:highlight w:val="none"/>
        </w:rPr>
        <w:t xml:space="preserve">承担</w:t>
      </w:r>
      <w:r>
        <w:rPr>
          <w:rFonts w:ascii="宋体" w:hAnsi="宋体"/>
          <w:szCs w:val="21"/>
          <w:highlight w:val="none"/>
        </w:rPr>
        <w:t xml:space="preserve">；</w:t>
      </w:r>
      <w:r/>
    </w:p>
    <w:p>
      <w:pPr>
        <w:pStyle w:val="1209"/>
        <w:jc w:val="left"/>
        <w:pageBreakBefore w:val="0"/>
        <w:spacing w:line="360" w:lineRule="auto"/>
        <w:rPr>
          <w:rFonts w:ascii="宋体" w:hAnsi="宋体"/>
          <w:szCs w:val="21"/>
          <w:highlight w:val="none"/>
        </w:rPr>
      </w:pPr>
      <w:r>
        <w:rPr>
          <w:rFonts w:hint="eastAsia" w:ascii="宋体" w:hAnsi="宋体"/>
          <w:szCs w:val="21"/>
          <w:highlight w:val="none"/>
        </w:rPr>
        <w:t xml:space="preserve">3.成交供应商</w:t>
      </w:r>
      <w:r>
        <w:rPr>
          <w:rFonts w:ascii="宋体" w:hAnsi="宋体"/>
          <w:szCs w:val="21"/>
          <w:highlight w:val="none"/>
        </w:rPr>
        <w:t xml:space="preserve">应提前通知采购人设备</w:t>
      </w:r>
      <w:r>
        <w:rPr>
          <w:rFonts w:hint="eastAsia" w:ascii="宋体" w:hAnsi="宋体"/>
          <w:szCs w:val="21"/>
          <w:highlight w:val="none"/>
        </w:rPr>
        <w:t xml:space="preserve">送</w:t>
      </w:r>
      <w:r>
        <w:rPr>
          <w:rFonts w:ascii="宋体" w:hAnsi="宋体"/>
          <w:szCs w:val="21"/>
          <w:highlight w:val="none"/>
        </w:rPr>
        <w:t xml:space="preserve">达指定地点</w:t>
      </w:r>
      <w:r>
        <w:rPr>
          <w:rFonts w:hint="eastAsia" w:ascii="宋体" w:hAnsi="宋体"/>
          <w:szCs w:val="21"/>
          <w:highlight w:val="none"/>
        </w:rPr>
        <w:t xml:space="preserve">的时间</w:t>
      </w:r>
      <w:r>
        <w:rPr>
          <w:rFonts w:ascii="宋体" w:hAnsi="宋体"/>
          <w:szCs w:val="21"/>
          <w:highlight w:val="none"/>
        </w:rPr>
        <w:t xml:space="preserve">，采购人根据</w:t>
      </w:r>
      <w:r>
        <w:rPr>
          <w:rFonts w:hint="eastAsia" w:ascii="宋体" w:hAnsi="宋体"/>
          <w:szCs w:val="21"/>
          <w:highlight w:val="none"/>
        </w:rPr>
        <w:t xml:space="preserve">相关约定</w:t>
      </w:r>
      <w:r>
        <w:rPr>
          <w:rFonts w:ascii="宋体" w:hAnsi="宋体"/>
          <w:szCs w:val="21"/>
          <w:highlight w:val="none"/>
        </w:rPr>
        <w:t xml:space="preserve">进行验收；</w:t>
      </w:r>
      <w:r/>
    </w:p>
    <w:p>
      <w:pPr>
        <w:pStyle w:val="1209"/>
        <w:jc w:val="left"/>
        <w:pageBreakBefore w:val="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验收标准：</w:t>
      </w:r>
      <w:r>
        <w:rPr>
          <w:rFonts w:hint="eastAsia" w:ascii="宋体" w:hAnsi="宋体"/>
          <w:szCs w:val="21"/>
          <w:highlight w:val="none"/>
        </w:rPr>
        <w:t xml:space="preserve">依据合同、协议、</w:t>
      </w:r>
      <w:r>
        <w:rPr>
          <w:rFonts w:hint="eastAsia" w:ascii="宋体" w:hAnsi="宋体"/>
          <w:szCs w:val="21"/>
          <w:highlight w:val="none"/>
          <w:lang w:eastAsia="zh-CN"/>
        </w:rPr>
        <w:t xml:space="preserve">采购文件</w:t>
      </w:r>
      <w:r>
        <w:rPr>
          <w:rFonts w:ascii="宋体" w:hAnsi="宋体"/>
          <w:szCs w:val="21"/>
          <w:highlight w:val="none"/>
        </w:rPr>
        <w:t xml:space="preserve">、投标文件、承诺及</w:t>
      </w:r>
      <w:r>
        <w:rPr>
          <w:rFonts w:hint="eastAsia" w:ascii="宋体" w:hAnsi="宋体"/>
          <w:szCs w:val="21"/>
          <w:highlight w:val="none"/>
        </w:rPr>
        <w:t xml:space="preserve">约定的</w:t>
      </w:r>
      <w:r>
        <w:rPr>
          <w:rFonts w:ascii="宋体" w:hAnsi="宋体"/>
          <w:szCs w:val="21"/>
          <w:highlight w:val="none"/>
        </w:rPr>
        <w:t xml:space="preserve">相关标准。</w:t>
      </w:r>
      <w:r/>
    </w:p>
    <w:p>
      <w:pPr>
        <w:pageBreakBefore w:val="0"/>
        <w:spacing w:line="360" w:lineRule="auto"/>
        <w:widowControl/>
        <w:rPr>
          <w:rFonts w:hint="default" w:asciiTheme="minorEastAsia" w:hAnsiTheme="minorEastAsia" w:eastAsiaTheme="minorEastAsia"/>
          <w:b/>
          <w:szCs w:val="21"/>
          <w:highlight w:val="none"/>
          <w:lang w:val="en-US" w:eastAsia="zh-CN"/>
        </w:rPr>
      </w:pPr>
      <w:r>
        <w:rPr>
          <w:rFonts w:hint="eastAsia" w:asciiTheme="minorEastAsia" w:hAnsiTheme="minorEastAsia" w:eastAsiaTheme="minorEastAsia"/>
          <w:b/>
          <w:szCs w:val="21"/>
          <w:highlight w:val="none"/>
          <w:lang w:val="en-US" w:eastAsia="zh-CN"/>
        </w:rPr>
        <w:t xml:space="preserve">五</w:t>
      </w:r>
      <w:r>
        <w:rPr>
          <w:rFonts w:hint="eastAsia" w:asciiTheme="minorEastAsia" w:hAnsiTheme="minorEastAsia" w:eastAsiaTheme="minorEastAsia"/>
          <w:b/>
          <w:szCs w:val="21"/>
          <w:highlight w:val="none"/>
        </w:rPr>
        <w:t xml:space="preserve">、</w:t>
      </w:r>
      <w:r>
        <w:rPr>
          <w:rFonts w:hint="eastAsia" w:asciiTheme="minorEastAsia" w:hAnsiTheme="minorEastAsia" w:eastAsiaTheme="minorEastAsia"/>
          <w:b/>
          <w:szCs w:val="21"/>
          <w:highlight w:val="none"/>
          <w:lang w:val="en-US" w:eastAsia="zh-CN"/>
        </w:rPr>
        <w:t xml:space="preserve">培训要求</w:t>
      </w:r>
      <w:r/>
    </w:p>
    <w:p>
      <w:pPr>
        <w:ind w:firstLine="42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成交供应商必须提供相应的操作培训。</w:t>
      </w:r>
      <w:r/>
    </w:p>
    <w:p>
      <w:pPr>
        <w:ind w:firstLine="42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2.成交供应商派出的培训教员应具有丰富的应用经验。</w:t>
      </w:r>
      <w:r/>
    </w:p>
    <w:p>
      <w:pPr>
        <w:ind w:firstLine="420"/>
        <w:pageBreakBefore w:val="0"/>
        <w:spacing w:line="360" w:lineRule="auto"/>
        <w:widowControl/>
        <w:rPr>
          <w:rFonts w:asciiTheme="minorEastAsia" w:hAnsiTheme="minorEastAsia" w:eastAsiaTheme="minorEastAsia"/>
          <w:b/>
          <w:szCs w:val="21"/>
          <w:highlight w:val="none"/>
        </w:rPr>
      </w:pPr>
      <w:r>
        <w:rPr>
          <w:rFonts w:hint="eastAsia" w:ascii="宋体" w:hAnsi="宋体" w:cs="宋体"/>
          <w:color w:val="auto"/>
          <w:szCs w:val="21"/>
          <w:highlight w:val="none"/>
          <w:lang w:val="en-US" w:eastAsia="zh-CN"/>
        </w:rPr>
        <w:t xml:space="preserve">3.成交供应商须提供详细的培训计划，包括培训方案的设计、培训制度的制定，保证培训课程符合采购人实际需要。</w:t>
      </w:r>
      <w:r/>
    </w:p>
    <w:p>
      <w:pPr>
        <w:jc w:val="left"/>
        <w:pageBreakBefore w:val="0"/>
        <w:spacing w:line="360" w:lineRule="auto"/>
        <w:rPr>
          <w:rFonts w:hint="eastAsia" w:ascii="宋体" w:hAnsi="宋体" w:eastAsia="宋体" w:cs="宋体"/>
          <w:b/>
          <w:color w:val="auto"/>
          <w:szCs w:val="21"/>
          <w:highlight w:val="none"/>
          <w:lang w:eastAsia="zh-CN"/>
        </w:rPr>
      </w:pPr>
      <w:r>
        <w:rPr>
          <w:rFonts w:hint="eastAsia" w:asciiTheme="minorEastAsia" w:hAnsiTheme="minorEastAsia" w:eastAsiaTheme="minorEastAsia"/>
          <w:b/>
          <w:szCs w:val="21"/>
          <w:highlight w:val="none"/>
          <w:lang w:val="en-US" w:eastAsia="zh-CN"/>
        </w:rPr>
        <w:t xml:space="preserve">六</w:t>
      </w: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付款条件</w:t>
      </w:r>
      <w:bookmarkEnd w:id="88"/>
      <w:r/>
      <w:bookmarkEnd w:id="89"/>
      <w:r/>
      <w:r/>
    </w:p>
    <w:p>
      <w:pPr>
        <w:ind w:firstLine="420"/>
        <w:pageBreakBefore w:val="0"/>
        <w:spacing w:line="360" w:lineRule="auto"/>
        <w:widowControl/>
        <w:rPr>
          <w:rFonts w:hint="eastAsia" w:ascii="宋体" w:hAnsi="宋体"/>
          <w:szCs w:val="21"/>
          <w:highlight w:val="none"/>
          <w:lang w:eastAsia="zh-CN"/>
        </w:rPr>
      </w:pPr>
      <w:r/>
      <w:bookmarkStart w:id="100" w:name="_Toc86268903"/>
      <w:r/>
      <w:bookmarkStart w:id="101" w:name="_Toc26554097"/>
      <w:r/>
      <w:bookmarkStart w:id="102" w:name="_Toc61149622"/>
      <w:r/>
      <w:bookmarkStart w:id="103" w:name="_Toc23828480"/>
      <w:r>
        <w:rPr>
          <w:rFonts w:hint="eastAsia" w:ascii="宋体" w:hAnsi="宋体"/>
          <w:szCs w:val="21"/>
          <w:highlight w:val="none"/>
          <w:lang w:val="en-US" w:eastAsia="zh-CN"/>
        </w:rPr>
        <w:t xml:space="preserve">合同签订后，一个月内支付合同价的30%；</w:t>
      </w:r>
      <w:r>
        <w:rPr>
          <w:rFonts w:hint="eastAsia" w:ascii="宋体" w:hAnsi="宋体"/>
          <w:szCs w:val="21"/>
          <w:highlight w:val="none"/>
          <w:lang w:eastAsia="zh-CN"/>
        </w:rPr>
        <w:t xml:space="preserve">供应商在交付货物后向采购人提出</w:t>
      </w:r>
      <w:r>
        <w:rPr>
          <w:rFonts w:hint="eastAsia" w:ascii="宋体" w:hAnsi="宋体"/>
          <w:szCs w:val="21"/>
          <w:highlight w:val="none"/>
          <w:lang w:val="en-US" w:eastAsia="zh-CN"/>
        </w:rPr>
        <w:t xml:space="preserve">验收申请</w:t>
      </w:r>
      <w:r>
        <w:rPr>
          <w:rFonts w:hint="eastAsia" w:ascii="宋体" w:hAnsi="宋体"/>
          <w:szCs w:val="21"/>
          <w:highlight w:val="none"/>
          <w:lang w:eastAsia="zh-CN"/>
        </w:rPr>
        <w:t xml:space="preserve">，产品</w:t>
      </w:r>
      <w:r>
        <w:rPr>
          <w:rFonts w:hint="eastAsia" w:ascii="宋体" w:hAnsi="宋体"/>
          <w:szCs w:val="21"/>
          <w:highlight w:val="none"/>
          <w:lang w:val="en-US" w:eastAsia="zh-CN"/>
        </w:rPr>
        <w:t xml:space="preserve">验收</w:t>
      </w:r>
      <w:r>
        <w:rPr>
          <w:rFonts w:hint="eastAsia" w:ascii="宋体" w:hAnsi="宋体"/>
          <w:szCs w:val="21"/>
          <w:highlight w:val="none"/>
          <w:lang w:eastAsia="zh-CN"/>
        </w:rPr>
        <w:t xml:space="preserve">合格后，支付</w:t>
      </w:r>
      <w:r>
        <w:rPr>
          <w:rFonts w:hint="eastAsia" w:ascii="宋体" w:hAnsi="宋体"/>
          <w:szCs w:val="21"/>
          <w:highlight w:val="none"/>
          <w:lang w:val="en-US" w:eastAsia="zh-CN"/>
        </w:rPr>
        <w:t xml:space="preserve">至</w:t>
      </w:r>
      <w:r>
        <w:rPr>
          <w:rFonts w:hint="eastAsia" w:ascii="宋体" w:hAnsi="宋体"/>
          <w:szCs w:val="21"/>
          <w:highlight w:val="none"/>
          <w:lang w:eastAsia="zh-CN"/>
        </w:rPr>
        <w:t xml:space="preserve">合同总金额的95%；合同履行期满后一个月内支付余款（以上不计利息）。</w:t>
      </w:r>
      <w:r/>
    </w:p>
    <w:p>
      <w:pPr>
        <w:numPr>
          <w:ilvl w:val="0"/>
          <w:numId w:val="6"/>
        </w:numPr>
        <w:pageBreakBefore w:val="0"/>
        <w:spacing w:line="360" w:lineRule="auto"/>
        <w:rPr>
          <w:rFonts w:hint="eastAsia" w:cs="Times New Roman" w:asciiTheme="minorEastAsia" w:hAnsiTheme="minorEastAsia" w:eastAsiaTheme="minorEastAsia"/>
          <w:b/>
          <w:szCs w:val="21"/>
          <w:highlight w:val="none"/>
        </w:rPr>
      </w:pPr>
      <w:r>
        <w:rPr>
          <w:rFonts w:hint="eastAsia" w:cs="Times New Roman" w:asciiTheme="minorEastAsia" w:hAnsiTheme="minorEastAsia" w:eastAsiaTheme="minorEastAsia"/>
          <w:b/>
          <w:szCs w:val="21"/>
          <w:highlight w:val="none"/>
          <w:lang w:val="en-US" w:eastAsia="zh-CN"/>
        </w:rPr>
        <w:t xml:space="preserve">售</w:t>
      </w:r>
      <w:r>
        <w:rPr>
          <w:rFonts w:hint="eastAsia" w:cs="Times New Roman" w:asciiTheme="minorEastAsia" w:hAnsiTheme="minorEastAsia" w:eastAsiaTheme="minorEastAsia"/>
          <w:b/>
          <w:szCs w:val="21"/>
          <w:highlight w:val="none"/>
        </w:rPr>
        <w:t xml:space="preserve">后服务</w:t>
      </w:r>
      <w:r>
        <w:rPr>
          <w:rFonts w:hint="eastAsia" w:cs="Times New Roman" w:asciiTheme="minorEastAsia" w:hAnsiTheme="minorEastAsia" w:eastAsiaTheme="minorEastAsia"/>
          <w:b/>
          <w:szCs w:val="21"/>
          <w:highlight w:val="none"/>
          <w:lang w:val="en-US" w:eastAsia="zh-CN"/>
        </w:rPr>
        <w:t xml:space="preserve">要求</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成交供应商应提供客户服务和现场服务。除驻场服务外，应具备灵活多样的通讯手段，提供7×24小时响应服务。实时解决常见问题。</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（1）故障响应。成交供应商在接到系统故障报修要求时，半小时内做出明确响应和维护安排，在2小时内为建设单位提供维护服务，并做出故障诊断报告，4小时内恢复正常。</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（2）热线服务。成交供应商应提供热线电话、E-mail、传真、网站等途径，随时接受建设单位提出的各种技术和使用问题，不能即时解决的问题要在1小时内提出解决方案。</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投标供应商</w:t>
      </w:r>
      <w:r>
        <w:rPr>
          <w:rFonts w:hint="eastAsia" w:ascii="宋体" w:hAnsi="宋体" w:cs="宋体"/>
          <w:color w:val="auto"/>
          <w:szCs w:val="21"/>
          <w:highlight w:val="none"/>
        </w:rPr>
        <w:t xml:space="preserve">应具备相关的售后服务体系，承诺服务期内提供完善、及时、无推诿的应用软件等项目实施范围内的服务保障。</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项目服务期满后，供应商必须承诺在法定工作时间内，可以提供技术指导和咨询；供应商要长期建立完善的技术支持和售后服务管理体系和服务队伍，为配合用户使用提供全方位的技术支持工作。</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以上提到的所有采购需求及技术服务为本建设项目的基本需求。</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应根据自身经验及专业视角对以上内容进行合理的增补，保证建设内容能够满足项目目标要求。</w:t>
      </w:r>
      <w:r/>
    </w:p>
    <w:p>
      <w:pPr>
        <w:pStyle w:val="1187"/>
        <w:rPr>
          <w:rFonts w:hint="default" w:ascii="宋体" w:hAnsi="宋体"/>
          <w:szCs w:val="21"/>
          <w:highlight w:val="none"/>
          <w:lang w:val="en-US" w:eastAsia="zh-CN"/>
        </w:rPr>
        <w:sectPr>
          <w:footerReference w:type="default" r:id="rId18"/>
          <w:footnotePr/>
          <w:endnotePr/>
          <w:type w:val="nextPage"/>
          <w:pgSz w:w="11907" w:h="16840" w:orient="portrait"/>
          <w:pgMar w:top="1134" w:right="1134" w:bottom="1134" w:left="1560" w:header="851" w:footer="851" w:gutter="0"/>
          <w:cols w:num="1" w:sep="0" w:space="720" w:equalWidth="1"/>
          <w:docGrid w:linePitch="360"/>
        </w:sectPr>
      </w:pPr>
      <w:r>
        <w:rPr>
          <w:rFonts w:hint="default" w:ascii="宋体" w:hAnsi="宋体"/>
          <w:szCs w:val="21"/>
          <w:highlight w:val="none"/>
          <w:lang w:val="en-US" w:eastAsia="zh-CN"/>
        </w:rPr>
      </w:r>
      <w:r/>
    </w:p>
    <w:p>
      <w:pPr>
        <w:pStyle w:val="1180"/>
        <w:numPr>
          <w:ilvl w:val="0"/>
          <w:numId w:val="7"/>
        </w:numPr>
        <w:ind w:firstLine="422"/>
        <w:jc w:val="center"/>
        <w:pageBreakBefore w:val="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 评审方法和评审标准</w:t>
      </w:r>
      <w:bookmarkEnd w:id="100"/>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一、磋商模式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二、磋商组织及磋商小组职责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2.磋商小组的职责：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（3）磋商小组成员应当遵守评审工作纪律，不得泄露评审情况和评审中获悉的商业秘密</w:t>
      </w:r>
      <w:r>
        <w:rPr>
          <w:rFonts w:hint="eastAsia" w:ascii="宋体" w:hAnsi="宋体" w:cs="宋体"/>
          <w:color w:val="auto"/>
          <w:szCs w:val="21"/>
          <w:highlight w:val="none"/>
          <w:lang w:eastAsia="zh-CN"/>
        </w:rPr>
        <w:t xml:space="preserve">，并</w:t>
      </w:r>
      <w:r>
        <w:rPr>
          <w:rFonts w:hint="eastAsia" w:ascii="宋体" w:hAnsi="宋体" w:cs="宋体"/>
          <w:color w:val="auto"/>
          <w:szCs w:val="21"/>
          <w:highlight w:val="none"/>
        </w:rPr>
        <w:t xml:space="preserve">对个人的评审意见承担法律责任。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（5）磋商小组成员在评审过程中受到非法干涉的，应当及时向财政、监察等部门举报。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（6）配合采购单位答复供应商提出的质疑；配合财政部门的投诉处理和监督检查工作。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3.评审有关记录由磋商小组成员签名，存档备查。</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三、评审步骤</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color w:val="auto"/>
          <w:szCs w:val="21"/>
          <w:highlight w:val="none"/>
          <w:lang w:val="zh-CN"/>
        </w:rPr>
        <w:t xml:space="preserve">。</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四、磋商程序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Cs w:val="21"/>
          <w:highlight w:val="none"/>
          <w:lang w:eastAsia="zh-CN"/>
        </w:rPr>
        <w:t xml:space="preserve">，并</w:t>
      </w:r>
      <w:r>
        <w:rPr>
          <w:rFonts w:hint="eastAsia" w:ascii="宋体" w:hAnsi="宋体" w:cs="宋体"/>
          <w:color w:val="auto"/>
          <w:szCs w:val="21"/>
          <w:highlight w:val="none"/>
        </w:rPr>
        <w:t xml:space="preserve">在苏采云系统中向其发布“最后报价要求函”及最后报价格式表，要求其在</w:t>
      </w:r>
      <w:r>
        <w:rPr>
          <w:rFonts w:hint="eastAsia" w:ascii="宋体" w:hAnsi="宋体" w:cs="宋体"/>
          <w:b/>
          <w:bCs/>
          <w:color w:val="auto"/>
          <w:szCs w:val="21"/>
          <w:highlight w:val="none"/>
          <w:lang w:eastAsia="zh-CN"/>
        </w:rPr>
        <w:t xml:space="preserve">15分钟</w:t>
      </w:r>
      <w:r>
        <w:rPr>
          <w:rFonts w:hint="eastAsia" w:ascii="宋体" w:hAnsi="宋体" w:cs="宋体"/>
          <w:b/>
          <w:bCs/>
          <w:color w:val="auto"/>
          <w:szCs w:val="21"/>
          <w:highlight w:val="none"/>
        </w:rPr>
        <w:t xml:space="preserve">内</w:t>
      </w:r>
      <w:r>
        <w:rPr>
          <w:rFonts w:hint="eastAsia" w:ascii="宋体" w:hAnsi="宋体" w:cs="宋体"/>
          <w:color w:val="auto"/>
          <w:szCs w:val="21"/>
          <w:highlight w:val="none"/>
        </w:rPr>
        <w:t xml:space="preserve">提交最后报价。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4.除非在磋商中磋商小组对采购需求中的技术、服务要求以及合同草案条款做了实质性变更，</w:t>
      </w:r>
      <w:r>
        <w:rPr>
          <w:rFonts w:hint="eastAsia" w:ascii="宋体" w:hAnsi="宋体" w:cs="宋体"/>
          <w:b/>
          <w:bCs/>
          <w:color w:val="auto"/>
          <w:szCs w:val="21"/>
          <w:highlight w:val="none"/>
        </w:rPr>
        <w:t xml:space="preserve">否则采购单位不接受供应商高于自己前一轮的磋商报价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5.在磋商中，磋商的任何一方不得透露与磋商有关的其他响应磋商的供应商的技术资料、价格及其他信息。</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五、磋商评定结果的方法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color w:val="auto"/>
          <w:szCs w:val="21"/>
          <w:highlight w:val="none"/>
          <w:u w:val="single"/>
        </w:rPr>
        <w:t xml:space="preserve">经磋商确定最终采购需求和提交最后报价的供应商后，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对提交最后报价的供应商的响应文件和最后报价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3.本次项目磋商的商务技术和报价评审总分值为100分。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4.商务技术分按算术平均值计算，分值四舍五入保留两位小数。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5.报价分统一采用低价优先法计算直接取得，与商务技术分相加为供应商的综合得分（四舍五入保留两位小数）。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6.综合得分最高的供应商推荐为项目预成交人并出具评审磋商报告。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7.确定成交候选人的特殊情况处理：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（1）若总分相同，则按最终报价响应得分高者优先</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（2）若总分且最终报价响应得分相同，则采取现场抽签的方式确定（供应商的抽签顺序分别为各供应商递交响应文件签到顺序号）。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8.磋商评审时，评委对评审的细则若有争议，由磋商小组集体讨论确定，并对未尽情况有最终解释权。</w:t>
      </w:r>
      <w:r/>
    </w:p>
    <w:p>
      <w:pPr>
        <w:pStyle w:val="1187"/>
        <w:jc w:val="center"/>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生物医药产业园专职消防救援站消防通信器材评审标准</w:t>
      </w:r>
      <w:r/>
    </w:p>
    <w:tbl>
      <w:tblPr>
        <w:tblStyle w:val="1210"/>
        <w:tblW w:w="500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92"/>
        <w:gridCol w:w="894"/>
        <w:gridCol w:w="6650"/>
        <w:gridCol w:w="1085"/>
      </w:tblGrid>
      <w:tr>
        <w:trPr>
          <w:jc w:val="center"/>
          <w:trHeight w:val="861"/>
        </w:trPr>
        <w:tc>
          <w:tcPr>
            <w:tcW w:w="321" w:type="pct"/>
            <w:vAlign w:val="center"/>
            <w:textDirection w:val="lrTb"/>
            <w:noWrap w:val="false"/>
          </w:tcPr>
          <w:p>
            <w:pPr>
              <w:jc w:val="center"/>
              <w:spacing w:before="44" w:line="360" w:lineRule="auto"/>
              <w:rPr>
                <w:rFonts w:cs="微软雅黑" w:asciiTheme="minorEastAsia" w:hAnsiTheme="minorEastAsia" w:eastAsiaTheme="minorEastAsia"/>
                <w:b/>
                <w:color w:val="000000" w:themeColor="text1"/>
                <w:spacing w:val="-3"/>
                <w:szCs w:val="21"/>
                <w:highlight w:val="none"/>
                <w14:textFill>
                  <w14:solidFill>
                    <w14:schemeClr w14:val="tx1"/>
                  </w14:solidFill>
                </w14:textFill>
              </w:rPr>
            </w:pPr>
            <w:r>
              <w:rPr>
                <w:rFonts w:hint="eastAsia" w:cs="微软雅黑" w:asciiTheme="minorEastAsia" w:hAnsiTheme="minorEastAsia" w:eastAsiaTheme="minorEastAsia"/>
                <w:b/>
                <w:color w:val="000000" w:themeColor="text1"/>
                <w:spacing w:val="-3"/>
                <w:szCs w:val="21"/>
                <w:highlight w:val="none"/>
                <w14:textFill>
                  <w14:solidFill>
                    <w14:schemeClr w14:val="tx1"/>
                  </w14:solidFill>
                </w14:textFill>
              </w:rPr>
              <w:t xml:space="preserve">序号</w:t>
            </w:r>
            <w:r/>
          </w:p>
        </w:tc>
        <w:tc>
          <w:tcPr>
            <w:tcW w:w="485" w:type="pct"/>
            <w:vAlign w:val="center"/>
            <w:textDirection w:val="lrTb"/>
            <w:noWrap w:val="false"/>
          </w:tcPr>
          <w:p>
            <w:pPr>
              <w:jc w:val="center"/>
              <w:spacing w:before="44" w:line="360" w:lineRule="auto"/>
              <w:rPr>
                <w:rFonts w:cs="微软雅黑" w:asciiTheme="minorEastAsia" w:hAnsiTheme="minorEastAsia" w:eastAsiaTheme="minorEastAsia"/>
                <w:b/>
                <w:color w:val="000000" w:themeColor="text1"/>
                <w:szCs w:val="21"/>
                <w:highlight w:val="none"/>
                <w14:textFill>
                  <w14:solidFill>
                    <w14:schemeClr w14:val="tx1"/>
                  </w14:solidFill>
                </w14:textFill>
              </w:rPr>
            </w:pPr>
            <w:r>
              <w:rPr>
                <w:rFonts w:cs="微软雅黑" w:asciiTheme="minorEastAsia" w:hAnsiTheme="minorEastAsia" w:eastAsiaTheme="minorEastAsia"/>
                <w:b/>
                <w:color w:val="000000" w:themeColor="text1"/>
                <w:spacing w:val="-3"/>
                <w:szCs w:val="21"/>
                <w:highlight w:val="none"/>
                <w14:textFill>
                  <w14:solidFill>
                    <w14:schemeClr w14:val="tx1"/>
                  </w14:solidFill>
                </w14:textFill>
              </w:rPr>
              <w:t xml:space="preserve">评分</w:t>
            </w:r>
            <w:r>
              <w:rPr>
                <w:rFonts w:cs="微软雅黑" w:asciiTheme="minorEastAsia" w:hAnsiTheme="minorEastAsia" w:eastAsiaTheme="minorEastAsia"/>
                <w:b/>
                <w:color w:val="000000" w:themeColor="text1"/>
                <w:spacing w:val="-11"/>
                <w:szCs w:val="21"/>
                <w:highlight w:val="none"/>
                <w14:textFill>
                  <w14:solidFill>
                    <w14:schemeClr w14:val="tx1"/>
                  </w14:solidFill>
                </w14:textFill>
              </w:rPr>
              <w:t xml:space="preserve">因素</w:t>
            </w:r>
            <w:r/>
          </w:p>
        </w:tc>
        <w:tc>
          <w:tcPr>
            <w:tcW w:w="3606" w:type="pct"/>
            <w:vAlign w:val="center"/>
            <w:textDirection w:val="lrTb"/>
            <w:noWrap w:val="false"/>
          </w:tcPr>
          <w:p>
            <w:pPr>
              <w:ind w:left="6"/>
              <w:jc w:val="center"/>
              <w:spacing w:before="199" w:line="360" w:lineRule="auto"/>
              <w:rPr>
                <w:rFonts w:cs="微软雅黑" w:asciiTheme="minorEastAsia" w:hAnsiTheme="minorEastAsia" w:eastAsiaTheme="minorEastAsia"/>
                <w:b/>
                <w:color w:val="000000" w:themeColor="text1"/>
                <w:szCs w:val="21"/>
                <w:highlight w:val="none"/>
                <w14:textFill>
                  <w14:solidFill>
                    <w14:schemeClr w14:val="tx1"/>
                  </w14:solidFill>
                </w14:textFill>
              </w:rPr>
            </w:pPr>
            <w:r>
              <w:rPr>
                <w:rFonts w:cs="微软雅黑" w:asciiTheme="minorEastAsia" w:hAnsiTheme="minorEastAsia" w:eastAsiaTheme="minorEastAsia"/>
                <w:b/>
                <w:color w:val="000000" w:themeColor="text1"/>
                <w:spacing w:val="-2"/>
                <w:szCs w:val="21"/>
                <w:highlight w:val="none"/>
                <w14:textFill>
                  <w14:solidFill>
                    <w14:schemeClr w14:val="tx1"/>
                  </w14:solidFill>
                </w14:textFill>
              </w:rPr>
              <w:t xml:space="preserve">评审标准</w:t>
            </w:r>
            <w:r/>
          </w:p>
        </w:tc>
        <w:tc>
          <w:tcPr>
            <w:tcW w:w="587" w:type="pct"/>
            <w:vAlign w:val="center"/>
            <w:textDirection w:val="lrTb"/>
            <w:noWrap w:val="false"/>
          </w:tcPr>
          <w:p>
            <w:pPr>
              <w:ind w:left="233"/>
              <w:spacing w:before="200" w:line="360" w:lineRule="auto"/>
              <w:rPr>
                <w:rFonts w:cs="微软雅黑" w:asciiTheme="minorEastAsia" w:hAnsiTheme="minorEastAsia" w:eastAsiaTheme="minorEastAsia"/>
                <w:b/>
                <w:color w:val="000000" w:themeColor="text1"/>
                <w:szCs w:val="21"/>
                <w:highlight w:val="none"/>
                <w14:textFill>
                  <w14:solidFill>
                    <w14:schemeClr w14:val="tx1"/>
                  </w14:solidFill>
                </w14:textFill>
              </w:rPr>
            </w:pPr>
            <w:r>
              <w:rPr>
                <w:rFonts w:hint="eastAsia" w:cs="微软雅黑" w:asciiTheme="minorEastAsia" w:hAnsiTheme="minorEastAsia" w:eastAsiaTheme="minorEastAsia"/>
                <w:b/>
                <w:color w:val="000000" w:themeColor="text1"/>
                <w:spacing w:val="-1"/>
                <w:szCs w:val="21"/>
                <w:highlight w:val="none"/>
                <w14:textFill>
                  <w14:solidFill>
                    <w14:schemeClr w14:val="tx1"/>
                  </w14:solidFill>
                </w14:textFill>
              </w:rPr>
              <w:t xml:space="preserve">标准</w:t>
            </w:r>
            <w:r>
              <w:rPr>
                <w:rFonts w:cs="微软雅黑" w:asciiTheme="minorEastAsia" w:hAnsiTheme="minorEastAsia" w:eastAsiaTheme="minorEastAsia"/>
                <w:b/>
                <w:color w:val="000000" w:themeColor="text1"/>
                <w:spacing w:val="-1"/>
                <w:szCs w:val="21"/>
                <w:highlight w:val="none"/>
                <w14:textFill>
                  <w14:solidFill>
                    <w14:schemeClr w14:val="tx1"/>
                  </w14:solidFill>
                </w14:textFill>
              </w:rPr>
              <w:t xml:space="preserve">分值</w:t>
            </w:r>
            <w:r/>
          </w:p>
        </w:tc>
      </w:tr>
      <w:tr>
        <w:trPr>
          <w:jc w:val="center"/>
          <w:trHeight w:val="436"/>
        </w:trPr>
        <w:tc>
          <w:tcPr>
            <w:gridSpan w:val="4"/>
            <w:tcW w:w="5000" w:type="pct"/>
            <w:vAlign w:val="center"/>
            <w:textDirection w:val="lrTb"/>
            <w:noWrap w:val="false"/>
          </w:tcPr>
          <w:p>
            <w:pPr>
              <w:ind w:left="233"/>
              <w:jc w:val="left"/>
              <w:spacing w:before="200" w:line="360" w:lineRule="auto"/>
              <w:rPr>
                <w:rFonts w:hint="default" w:cs="微软雅黑" w:asciiTheme="minorEastAsia" w:hAnsiTheme="minorEastAsia" w:eastAsiaTheme="minorEastAsia"/>
                <w:b/>
                <w:color w:val="000000" w:themeColor="text1"/>
                <w:spacing w:val="-1"/>
                <w:szCs w:val="21"/>
                <w:highlight w:val="none"/>
                <w:lang w:val="en-US" w:eastAsia="zh-CN"/>
                <w14:textFill>
                  <w14:solidFill>
                    <w14:schemeClr w14:val="tx1"/>
                  </w14:solidFill>
                </w14:textFill>
              </w:rPr>
            </w:pPr>
            <w:r>
              <w:rPr>
                <w:rFonts w:hint="eastAsia" w:cs="微软雅黑" w:asciiTheme="minorEastAsia" w:hAnsiTheme="minorEastAsia" w:eastAsiaTheme="minorEastAsia"/>
                <w:b w:val="0"/>
                <w:bCs/>
                <w:color w:val="000000" w:themeColor="text1"/>
                <w:spacing w:val="-1"/>
                <w:szCs w:val="21"/>
                <w:highlight w:val="none"/>
                <w:lang w:val="en-US" w:eastAsia="zh-CN"/>
                <w14:textFill>
                  <w14:solidFill>
                    <w14:schemeClr w14:val="tx1"/>
                  </w14:solidFill>
                </w14:textFill>
              </w:rPr>
              <w:t xml:space="preserve">价格分（30分）</w:t>
            </w:r>
            <w:r/>
          </w:p>
        </w:tc>
      </w:tr>
      <w:tr>
        <w:trPr>
          <w:jc w:val="center"/>
          <w:trHeight w:val="1627"/>
        </w:trPr>
        <w:tc>
          <w:tcPr>
            <w:tcW w:w="321" w:type="pct"/>
            <w:vAlign w:val="center"/>
            <w:textDirection w:val="lrTb"/>
            <w:noWrap w:val="false"/>
          </w:tcPr>
          <w:p>
            <w:pPr>
              <w:jc w:val="center"/>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w:t>
            </w:r>
            <w:r/>
          </w:p>
        </w:tc>
        <w:tc>
          <w:tcPr>
            <w:tcW w:w="485" w:type="pct"/>
            <w:vAlign w:val="center"/>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价格</w:t>
            </w:r>
            <w:r/>
          </w:p>
        </w:tc>
        <w:tc>
          <w:tcPr>
            <w:tcW w:w="3606" w:type="pct"/>
            <w:vAlign w:val="center"/>
            <w:textDirection w:val="lrTb"/>
            <w:noWrap w:val="false"/>
          </w:tcPr>
          <w:p>
            <w:pPr>
              <w:ind w:firstLine="420"/>
              <w:jc w:val="both"/>
              <w:spacing w:line="360" w:lineRule="auto"/>
              <w:widowControl/>
              <w:rPr>
                <w:rFonts w:cs="宋体" w:asciiTheme="minorEastAsia" w:hAnsiTheme="minorEastAsia" w:eastAsiaTheme="minorEastAsia"/>
                <w:szCs w:val="21"/>
                <w:highlight w:val="none"/>
              </w:rPr>
            </w:pPr>
            <w:r>
              <w:rPr>
                <w:rFonts w:hint="eastAsia" w:ascii="宋体" w:hAnsi="宋体" w:eastAsia="宋体" w:cs="宋体"/>
                <w:b w:val="0"/>
                <w:bCs/>
                <w:sz w:val="21"/>
                <w:szCs w:val="21"/>
                <w:highlight w:val="none"/>
                <w:u w:val="none"/>
              </w:rPr>
              <w:t xml:space="preserve">满足磋商文件要求且最后磋商报价最低的报价为评标基准价，其价格分为满分。其他供应商的价格分统一按照下列公式计算：磋商报价得分=</w:t>
            </w:r>
            <w:r>
              <w:rPr>
                <w:rFonts w:hint="eastAsia" w:ascii="宋体" w:hAnsi="宋体" w:cs="宋体"/>
                <w:b w:val="0"/>
                <w:bCs/>
                <w:sz w:val="21"/>
                <w:szCs w:val="21"/>
                <w:highlight w:val="none"/>
                <w:u w:val="none"/>
                <w:lang w:eastAsia="zh-CN"/>
              </w:rPr>
              <w:t xml:space="preserve">（</w:t>
            </w:r>
            <w:r>
              <w:rPr>
                <w:rFonts w:hint="eastAsia" w:ascii="宋体" w:hAnsi="宋体" w:eastAsia="宋体" w:cs="宋体"/>
                <w:b w:val="0"/>
                <w:bCs/>
                <w:sz w:val="21"/>
                <w:szCs w:val="21"/>
                <w:highlight w:val="none"/>
                <w:u w:val="none"/>
              </w:rPr>
              <w:t xml:space="preserve">评标基准价／各供应商最后磋商报价</w:t>
            </w:r>
            <w:r>
              <w:rPr>
                <w:rFonts w:hint="eastAsia" w:ascii="宋体" w:hAnsi="宋体" w:cs="宋体"/>
                <w:b w:val="0"/>
                <w:bCs/>
                <w:sz w:val="21"/>
                <w:szCs w:val="21"/>
                <w:highlight w:val="none"/>
                <w:u w:val="none"/>
                <w:lang w:eastAsia="zh-CN"/>
              </w:rPr>
              <w:t xml:space="preserve">）</w:t>
            </w:r>
            <w:r>
              <w:rPr>
                <w:rFonts w:hint="eastAsia" w:ascii="宋体" w:hAnsi="宋体" w:eastAsia="宋体" w:cs="宋体"/>
                <w:b w:val="0"/>
                <w:bCs/>
                <w:sz w:val="21"/>
                <w:szCs w:val="21"/>
                <w:highlight w:val="none"/>
                <w:u w:val="none"/>
              </w:rPr>
              <w:t xml:space="preserve">×100%×30，得分保留小数点后2位。</w:t>
            </w:r>
            <w:r/>
          </w:p>
        </w:tc>
        <w:tc>
          <w:tcPr>
            <w:tcW w:w="587" w:type="pct"/>
            <w:vAlign w:val="center"/>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30</w:t>
            </w:r>
            <w:r/>
          </w:p>
        </w:tc>
      </w:tr>
      <w:tr>
        <w:trPr>
          <w:jc w:val="center"/>
          <w:trHeight w:val="688"/>
        </w:trPr>
        <w:tc>
          <w:tcPr>
            <w:gridSpan w:val="4"/>
            <w:tcW w:w="5000" w:type="pct"/>
            <w:vAlign w:val="center"/>
            <w:textDirection w:val="lrTb"/>
            <w:noWrap w:val="false"/>
          </w:tcPr>
          <w:p>
            <w:pPr>
              <w:ind w:firstLine="210"/>
              <w:jc w:val="both"/>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商务分（5分）</w:t>
            </w:r>
            <w:r/>
          </w:p>
        </w:tc>
      </w:tr>
      <w:tr>
        <w:trPr>
          <w:jc w:val="center"/>
          <w:trHeight w:val="842"/>
        </w:trPr>
        <w:tc>
          <w:tcPr>
            <w:tcW w:w="321" w:type="pct"/>
            <w:vAlign w:val="top"/>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both"/>
              <w:spacing w:before="90" w:line="360" w:lineRule="auto"/>
              <w:widowControl/>
              <w:rPr>
                <w:rFonts w:hint="eastAsia"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r>
            <w:r/>
          </w:p>
          <w:p>
            <w:pPr>
              <w:jc w:val="center"/>
              <w:spacing w:before="90"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2</w:t>
            </w:r>
            <w:r/>
          </w:p>
        </w:tc>
        <w:tc>
          <w:tcPr>
            <w:tcW w:w="485" w:type="pct"/>
            <w:vAlign w:val="center"/>
            <w:textDirection w:val="lrTb"/>
            <w:noWrap w:val="false"/>
          </w:tcPr>
          <w:p>
            <w:pPr>
              <w:jc w:val="center"/>
              <w:spacing w:before="90"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业绩</w:t>
            </w:r>
            <w:r/>
          </w:p>
        </w:tc>
        <w:tc>
          <w:tcPr>
            <w:tcW w:w="3606" w:type="pct"/>
            <w:vAlign w:val="top"/>
            <w:textDirection w:val="lrTb"/>
            <w:noWrap w:val="false"/>
          </w:tcPr>
          <w:p>
            <w:pPr>
              <w:ind w:firstLine="420"/>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投标人</w:t>
            </w:r>
            <w:r>
              <w:rPr>
                <w:rFonts w:hint="eastAsia" w:cs="宋体" w:asciiTheme="minorEastAsia" w:hAnsiTheme="minorEastAsia" w:eastAsiaTheme="minorEastAsia"/>
                <w:szCs w:val="21"/>
                <w:highlight w:val="none"/>
              </w:rPr>
              <w:t xml:space="preserve">自2</w:t>
            </w:r>
            <w:r>
              <w:rPr>
                <w:rFonts w:cs="宋体" w:asciiTheme="minorEastAsia" w:hAnsiTheme="minorEastAsia" w:eastAsiaTheme="minorEastAsia"/>
                <w:szCs w:val="21"/>
                <w:highlight w:val="none"/>
              </w:rPr>
              <w:t xml:space="preserve">020</w:t>
            </w:r>
            <w:r>
              <w:rPr>
                <w:rFonts w:hint="eastAsia" w:cs="宋体" w:asciiTheme="minorEastAsia" w:hAnsiTheme="minorEastAsia" w:eastAsiaTheme="minorEastAsia"/>
                <w:szCs w:val="21"/>
                <w:highlight w:val="none"/>
              </w:rPr>
              <w:t xml:space="preserve">年1月1日</w:t>
            </w:r>
            <w:r>
              <w:rPr>
                <w:rFonts w:cs="宋体" w:asciiTheme="minorEastAsia" w:hAnsiTheme="minorEastAsia" w:eastAsiaTheme="minorEastAsia"/>
                <w:szCs w:val="21"/>
                <w:highlight w:val="none"/>
              </w:rPr>
              <w:t xml:space="preserve">以来</w:t>
            </w:r>
            <w:r>
              <w:rPr>
                <w:rFonts w:hint="eastAsia" w:cs="宋体" w:asciiTheme="minorEastAsia" w:hAnsiTheme="minorEastAsia" w:eastAsiaTheme="minorEastAsia"/>
                <w:szCs w:val="21"/>
                <w:highlight w:val="none"/>
              </w:rPr>
              <w:t xml:space="preserve">（以合同签订时间为准）</w:t>
            </w:r>
            <w:r>
              <w:rPr>
                <w:rFonts w:cs="宋体" w:asciiTheme="minorEastAsia" w:hAnsiTheme="minorEastAsia" w:eastAsiaTheme="minorEastAsia"/>
                <w:szCs w:val="21"/>
                <w:highlight w:val="none"/>
              </w:rPr>
              <w:t xml:space="preserve">具有类似产品（非单一产品包为核心产品） 的销供货成交业绩的，提供 1 个得 1 分，最高得5分。</w:t>
            </w:r>
            <w:r/>
          </w:p>
          <w:p>
            <w:pPr>
              <w:ind w:firstLine="422"/>
              <w:jc w:val="left"/>
              <w:spacing w:line="360" w:lineRule="auto"/>
              <w:widowControl/>
              <w:rPr>
                <w:rFonts w:hint="eastAsia" w:ascii="宋体" w:hAnsi="宋体" w:eastAsia="宋体" w:cs="宋体"/>
                <w:b w:val="0"/>
                <w:bCs/>
                <w:sz w:val="21"/>
                <w:szCs w:val="21"/>
                <w:highlight w:val="none"/>
                <w:u w:val="none"/>
              </w:rPr>
            </w:pPr>
            <w:r>
              <w:rPr>
                <w:rFonts w:hint="eastAsia" w:ascii="宋体" w:hAnsi="宋体" w:cs="宋体"/>
                <w:b/>
                <w:bCs w:val="0"/>
                <w:szCs w:val="21"/>
                <w:highlight w:val="none"/>
                <w:lang w:val="en-US" w:eastAsia="zh-CN"/>
              </w:rPr>
              <w:t xml:space="preserve">注：业绩数量认定以单份销售合同为准。不包含制造厂商与经销商或代理商之间的供应链业绩。</w:t>
            </w:r>
            <w:r>
              <w:rPr>
                <w:rFonts w:hint="eastAsia" w:ascii="宋体" w:hAnsi="宋体" w:cs="宋体"/>
                <w:b/>
                <w:szCs w:val="21"/>
                <w:highlight w:val="none"/>
                <w:lang w:val="en-US" w:eastAsia="zh-CN"/>
              </w:rPr>
              <w:t xml:space="preserve">提供</w:t>
            </w:r>
            <w:r>
              <w:rPr>
                <w:rFonts w:hint="eastAsia" w:ascii="宋体" w:hAnsi="宋体" w:cs="宋体"/>
                <w:b/>
                <w:szCs w:val="21"/>
                <w:highlight w:val="none"/>
              </w:rPr>
              <w:t xml:space="preserve">业绩</w:t>
            </w:r>
            <w:r>
              <w:rPr>
                <w:rFonts w:hint="eastAsia" w:ascii="宋体" w:hAnsi="宋体" w:cs="宋体"/>
                <w:b/>
                <w:szCs w:val="21"/>
                <w:highlight w:val="none"/>
                <w:lang w:val="en-US" w:eastAsia="zh-CN"/>
              </w:rPr>
              <w:t xml:space="preserve">中标（成交）通知书和</w:t>
            </w:r>
            <w:r>
              <w:rPr>
                <w:rFonts w:hint="eastAsia" w:ascii="宋体" w:hAnsi="宋体" w:cs="宋体"/>
                <w:b/>
                <w:szCs w:val="21"/>
                <w:highlight w:val="none"/>
              </w:rPr>
              <w:t xml:space="preserve">合同</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协议）书原件扫描上传。</w:t>
            </w:r>
            <w:r>
              <w:rPr>
                <w:rFonts w:cs="宋体" w:asciiTheme="minorEastAsia" w:hAnsiTheme="minorEastAsia" w:eastAsiaTheme="minorEastAsia"/>
                <w:szCs w:val="21"/>
                <w:highlight w:val="none"/>
              </w:rPr>
              <w:t xml:space="preserve">合同须能体现签订时间、产品名称、价格等相关信息，否则视为无效合同。</w:t>
            </w:r>
            <w:r/>
          </w:p>
        </w:tc>
        <w:tc>
          <w:tcPr>
            <w:tcW w:w="587" w:type="pct"/>
            <w:vAlign w:val="center"/>
            <w:textDirection w:val="lrTb"/>
            <w:noWrap w:val="false"/>
          </w:tcPr>
          <w:p>
            <w:pPr>
              <w:ind w:left="398"/>
              <w:spacing w:before="90"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5</w:t>
            </w:r>
            <w:r/>
          </w:p>
        </w:tc>
      </w:tr>
      <w:tr>
        <w:trPr>
          <w:jc w:val="center"/>
          <w:trHeight w:val="782"/>
        </w:trPr>
        <w:tc>
          <w:tcPr>
            <w:gridSpan w:val="4"/>
            <w:tcW w:w="5000" w:type="pct"/>
            <w:vAlign w:val="center"/>
            <w:textDirection w:val="lrTb"/>
            <w:noWrap w:val="false"/>
          </w:tcPr>
          <w:p>
            <w:pPr>
              <w:jc w:val="both"/>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 技术分（65分）</w:t>
            </w:r>
            <w:r/>
          </w:p>
        </w:tc>
      </w:tr>
      <w:tr>
        <w:trPr>
          <w:jc w:val="center"/>
          <w:trHeight w:val="90"/>
        </w:trPr>
        <w:tc>
          <w:tcPr>
            <w:tcW w:w="321"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3</w:t>
            </w:r>
            <w:r/>
          </w:p>
        </w:tc>
        <w:tc>
          <w:tcPr>
            <w:tcW w:w="485" w:type="pct"/>
            <w:vAlign w:val="center"/>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技术响应</w:t>
            </w:r>
            <w:r/>
          </w:p>
        </w:tc>
        <w:tc>
          <w:tcPr>
            <w:tcW w:w="3606" w:type="pct"/>
            <w:vAlign w:val="center"/>
            <w:textDirection w:val="lrTb"/>
            <w:noWrap w:val="false"/>
          </w:tcPr>
          <w:p>
            <w:pPr>
              <w:numPr>
                <w:ilvl w:val="0"/>
                <w:numId w:val="0"/>
              </w:numPr>
              <w:ind w:firstLine="420"/>
              <w:pageBreakBefore w:val="0"/>
              <w:spacing w:line="360" w:lineRule="auto"/>
              <w:tabs>
                <w:tab w:val="left" w:pos="630" w:leader="none"/>
              </w:tabs>
              <w:rPr>
                <w:rFonts w:hint="eastAsia" w:ascii="宋体" w:hAnsi="宋体" w:cs="宋体"/>
                <w:bCs/>
                <w:szCs w:val="21"/>
                <w:highlight w:val="none"/>
              </w:rPr>
            </w:pPr>
            <w:r>
              <w:rPr>
                <w:rFonts w:hint="eastAsia" w:ascii="宋体" w:hAnsi="宋体" w:cs="宋体"/>
                <w:bCs/>
                <w:szCs w:val="21"/>
                <w:highlight w:val="none"/>
                <w:lang w:val="en-US" w:eastAsia="zh-CN"/>
              </w:rPr>
              <w:t xml:space="preserve">第四章 </w:t>
            </w:r>
            <w:r>
              <w:rPr>
                <w:rFonts w:hint="eastAsia" w:ascii="宋体" w:hAnsi="宋体" w:cs="宋体"/>
                <w:bCs/>
                <w:szCs w:val="21"/>
                <w:highlight w:val="none"/>
              </w:rPr>
              <w:t xml:space="preserve">项目</w:t>
            </w:r>
            <w:r>
              <w:rPr>
                <w:rFonts w:hint="eastAsia" w:ascii="宋体" w:hAnsi="宋体" w:cs="宋体"/>
                <w:bCs/>
                <w:szCs w:val="21"/>
                <w:highlight w:val="none"/>
                <w:lang w:val="en-US" w:eastAsia="zh-CN"/>
              </w:rPr>
              <w:t xml:space="preserve">需</w:t>
            </w:r>
            <w:r>
              <w:rPr>
                <w:rFonts w:hint="eastAsia" w:ascii="宋体" w:hAnsi="宋体" w:cs="宋体"/>
                <w:bCs/>
                <w:szCs w:val="21"/>
                <w:highlight w:val="none"/>
              </w:rPr>
              <w:t xml:space="preserve">求</w:t>
            </w:r>
            <w:r>
              <w:rPr>
                <w:rFonts w:hint="eastAsia" w:ascii="宋体" w:hAnsi="宋体" w:cs="宋体"/>
                <w:bCs/>
                <w:szCs w:val="21"/>
                <w:highlight w:val="none"/>
                <w:lang w:val="en-US" w:eastAsia="zh-CN"/>
              </w:rPr>
              <w:t xml:space="preserve">标“</w:t>
            </w:r>
            <w:r>
              <w:rPr>
                <w:rFonts w:hint="eastAsia" w:ascii="宋体" w:hAnsi="宋体" w:eastAsia="宋体" w:cs="宋体"/>
                <w:bCs/>
                <w:szCs w:val="21"/>
                <w:highlight w:val="none"/>
                <w:lang w:val="en-US" w:eastAsia="zh-CN"/>
              </w:rPr>
              <w:t xml:space="preserve">▲</w:t>
            </w:r>
            <w:r>
              <w:rPr>
                <w:rFonts w:hint="eastAsia" w:ascii="宋体" w:hAnsi="宋体" w:cs="宋体"/>
                <w:bCs/>
                <w:szCs w:val="21"/>
                <w:highlight w:val="none"/>
                <w:lang w:val="en-US" w:eastAsia="zh-CN"/>
              </w:rPr>
              <w:t xml:space="preserve">”的相关</w:t>
            </w:r>
            <w:r>
              <w:rPr>
                <w:rFonts w:hint="eastAsia" w:ascii="宋体" w:hAnsi="宋体" w:cs="宋体"/>
                <w:bCs/>
                <w:szCs w:val="21"/>
                <w:highlight w:val="none"/>
              </w:rPr>
              <w:t xml:space="preserve">技术指标</w:t>
            </w:r>
            <w:r>
              <w:rPr>
                <w:rFonts w:hint="eastAsia" w:ascii="宋体" w:hAnsi="宋体" w:cs="宋体"/>
                <w:bCs/>
                <w:szCs w:val="21"/>
                <w:highlight w:val="none"/>
                <w:lang w:val="en-US" w:eastAsia="zh-CN"/>
              </w:rPr>
              <w:t xml:space="preserve">为重要参数，共3项，正偏离或</w:t>
            </w:r>
            <w:r>
              <w:rPr>
                <w:rFonts w:hint="eastAsia" w:ascii="宋体" w:hAnsi="宋体" w:cs="宋体"/>
                <w:bCs/>
                <w:szCs w:val="21"/>
                <w:highlight w:val="none"/>
              </w:rPr>
              <w:t xml:space="preserve">完全符合采购要求得</w:t>
            </w:r>
            <w:r>
              <w:rPr>
                <w:rFonts w:hint="eastAsia" w:ascii="宋体" w:hAnsi="宋体" w:cs="宋体"/>
                <w:bCs/>
                <w:szCs w:val="21"/>
                <w:highlight w:val="none"/>
                <w:lang w:val="en-US" w:eastAsia="zh-CN"/>
              </w:rPr>
              <w:t xml:space="preserve">9.75</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负偏离每有一项扣</w:t>
            </w:r>
            <w:r>
              <w:rPr>
                <w:rFonts w:hint="eastAsia" w:ascii="宋体" w:hAnsi="宋体" w:cs="宋体"/>
                <w:bCs/>
                <w:szCs w:val="21"/>
                <w:highlight w:val="none"/>
                <w:lang w:val="en-US" w:eastAsia="zh-CN"/>
              </w:rPr>
              <w:t xml:space="preserve">3.25</w:t>
            </w:r>
            <w:r>
              <w:rPr>
                <w:rFonts w:hint="eastAsia" w:ascii="宋体" w:hAnsi="宋体" w:cs="宋体"/>
                <w:bCs/>
                <w:szCs w:val="21"/>
                <w:highlight w:val="none"/>
              </w:rPr>
              <w:t xml:space="preserve">分；</w:t>
            </w:r>
            <w:r>
              <w:rPr>
                <w:rFonts w:hint="eastAsia" w:ascii="宋体" w:hAnsi="宋体" w:cs="宋体"/>
                <w:bCs/>
                <w:szCs w:val="21"/>
                <w:highlight w:val="none"/>
                <w:lang w:val="en-US" w:eastAsia="zh-CN"/>
              </w:rPr>
              <w:t xml:space="preserve">其余未标记的参数为一般参数，共81项，正偏离或</w:t>
            </w:r>
            <w:r>
              <w:rPr>
                <w:rFonts w:hint="eastAsia" w:ascii="宋体" w:hAnsi="宋体" w:cs="宋体"/>
                <w:bCs/>
                <w:szCs w:val="21"/>
                <w:highlight w:val="none"/>
              </w:rPr>
              <w:t xml:space="preserve">完全符合采购要求得</w:t>
            </w:r>
            <w:r>
              <w:rPr>
                <w:rFonts w:hint="eastAsia" w:ascii="宋体" w:hAnsi="宋体" w:cs="宋体"/>
                <w:bCs/>
                <w:szCs w:val="21"/>
                <w:highlight w:val="none"/>
                <w:lang w:val="en-US" w:eastAsia="zh-CN"/>
              </w:rPr>
              <w:t xml:space="preserve">20.25</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负偏离每有一项扣</w:t>
            </w:r>
            <w:r>
              <w:rPr>
                <w:rFonts w:hint="eastAsia" w:ascii="宋体" w:hAnsi="宋体" w:cs="宋体"/>
                <w:bCs/>
                <w:szCs w:val="21"/>
                <w:highlight w:val="none"/>
                <w:lang w:val="en-US" w:eastAsia="zh-CN"/>
              </w:rPr>
              <w:t xml:space="preserve">0.25</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本项最高</w:t>
            </w:r>
            <w:r>
              <w:rPr>
                <w:rFonts w:hint="eastAsia" w:ascii="宋体" w:hAnsi="宋体" w:cs="宋体"/>
                <w:bCs/>
                <w:szCs w:val="21"/>
                <w:highlight w:val="none"/>
                <w:lang w:val="en-US" w:eastAsia="zh-CN"/>
              </w:rPr>
              <w:t xml:space="preserve">30</w:t>
            </w:r>
            <w:r>
              <w:rPr>
                <w:rFonts w:hint="eastAsia" w:ascii="宋体" w:hAnsi="宋体" w:cs="宋体"/>
                <w:bCs/>
                <w:szCs w:val="21"/>
                <w:highlight w:val="none"/>
              </w:rPr>
              <w:t xml:space="preserve">分。</w:t>
            </w:r>
            <w:r/>
          </w:p>
          <w:p>
            <w:pPr>
              <w:ind w:firstLine="422"/>
              <w:jc w:val="left"/>
              <w:spacing w:line="360" w:lineRule="auto"/>
              <w:widowControl/>
              <w:rPr>
                <w:highlight w:val="none"/>
              </w:rPr>
            </w:pPr>
            <w:r>
              <w:rPr>
                <w:rFonts w:hint="eastAsia" w:cs="宋体" w:asciiTheme="minorEastAsia" w:hAnsiTheme="minorEastAsia" w:eastAsiaTheme="minorEastAsia"/>
                <w:b/>
                <w:bCs/>
                <w:szCs w:val="21"/>
                <w:highlight w:val="none"/>
              </w:rPr>
              <w:t xml:space="preserve">注：不完全响应采购需求的均为负偏离；未在《技术条款响应及偏离表》中响应的条款，视同负偏离；</w:t>
            </w:r>
            <w:r>
              <w:rPr>
                <w:rFonts w:hint="eastAsia" w:cs="宋体" w:asciiTheme="minorEastAsia" w:hAnsiTheme="minorEastAsia" w:eastAsiaTheme="minorEastAsia"/>
                <w:b/>
                <w:bCs/>
                <w:szCs w:val="21"/>
                <w:highlight w:val="none"/>
                <w:lang w:val="en-US" w:eastAsia="zh-CN"/>
              </w:rPr>
              <w:t xml:space="preserve">供应商应在响应文件中</w:t>
            </w:r>
            <w:r>
              <w:rPr>
                <w:rFonts w:hint="eastAsia" w:cs="宋体" w:asciiTheme="minorEastAsia" w:hAnsiTheme="minorEastAsia" w:eastAsiaTheme="minorEastAsia"/>
                <w:b/>
                <w:bCs/>
                <w:szCs w:val="21"/>
                <w:highlight w:val="none"/>
              </w:rPr>
              <w:t xml:space="preserve">提供相应的</w:t>
            </w:r>
            <w:r>
              <w:rPr>
                <w:rFonts w:hint="eastAsia" w:cs="宋体" w:asciiTheme="minorEastAsia" w:hAnsiTheme="minorEastAsia" w:eastAsiaTheme="minorEastAsia"/>
                <w:b/>
                <w:bCs/>
                <w:szCs w:val="21"/>
                <w:highlight w:val="none"/>
                <w:lang w:val="en-US" w:eastAsia="zh-CN"/>
              </w:rPr>
              <w:t xml:space="preserve">技术支持</w:t>
            </w:r>
            <w:r>
              <w:rPr>
                <w:rFonts w:hint="eastAsia" w:cs="宋体" w:asciiTheme="minorEastAsia" w:hAnsiTheme="minorEastAsia" w:eastAsiaTheme="minorEastAsia"/>
                <w:b/>
                <w:bCs/>
                <w:szCs w:val="21"/>
                <w:highlight w:val="none"/>
              </w:rPr>
              <w:t xml:space="preserve">材料（如</w:t>
            </w:r>
            <w:r>
              <w:rPr>
                <w:rFonts w:hint="eastAsia" w:cs="宋体" w:asciiTheme="minorEastAsia" w:hAnsiTheme="minorEastAsia" w:eastAsiaTheme="minorEastAsia"/>
                <w:b/>
                <w:bCs/>
                <w:szCs w:val="21"/>
                <w:highlight w:val="none"/>
                <w:lang w:val="en-US" w:eastAsia="zh-CN"/>
              </w:rPr>
              <w:t xml:space="preserve">产品说明书或</w:t>
            </w:r>
            <w:r>
              <w:rPr>
                <w:rFonts w:hint="eastAsia" w:cs="宋体" w:asciiTheme="minorEastAsia" w:hAnsiTheme="minorEastAsia" w:eastAsiaTheme="minorEastAsia"/>
                <w:b/>
                <w:bCs/>
                <w:szCs w:val="21"/>
                <w:highlight w:val="none"/>
              </w:rPr>
              <w:t xml:space="preserve">设备生产厂家证明原件</w:t>
            </w:r>
            <w:r>
              <w:rPr>
                <w:rFonts w:hint="eastAsia" w:cs="宋体" w:asciiTheme="minorEastAsia" w:hAnsiTheme="minorEastAsia" w:eastAsiaTheme="minorEastAsia"/>
                <w:b/>
                <w:bCs/>
                <w:szCs w:val="21"/>
                <w:highlight w:val="none"/>
                <w:lang w:val="en-US" w:eastAsia="zh-CN"/>
              </w:rPr>
              <w:t xml:space="preserve">或国家认可的检测机构出具的检测报告</w:t>
            </w:r>
            <w:r>
              <w:rPr>
                <w:rFonts w:hint="eastAsia" w:cs="宋体" w:asciiTheme="minorEastAsia" w:hAnsiTheme="minorEastAsia" w:eastAsiaTheme="minorEastAsia"/>
                <w:b/>
                <w:bCs/>
                <w:szCs w:val="21"/>
                <w:highlight w:val="none"/>
              </w:rPr>
              <w:t xml:space="preserve">等</w:t>
            </w:r>
            <w:r>
              <w:rPr>
                <w:rFonts w:hint="eastAsia" w:cs="宋体" w:asciiTheme="minorEastAsia" w:hAnsiTheme="minorEastAsia" w:eastAsiaTheme="minorEastAsia"/>
                <w:b/>
                <w:bCs/>
                <w:szCs w:val="21"/>
                <w:highlight w:val="none"/>
                <w:lang w:val="en-US" w:eastAsia="zh-CN"/>
              </w:rPr>
              <w:t xml:space="preserve">能</w:t>
            </w:r>
            <w:r>
              <w:rPr>
                <w:rFonts w:hint="eastAsia" w:cs="宋体" w:asciiTheme="minorEastAsia" w:hAnsiTheme="minorEastAsia" w:eastAsiaTheme="minorEastAsia"/>
                <w:b/>
                <w:bCs/>
                <w:szCs w:val="21"/>
                <w:highlight w:val="none"/>
              </w:rPr>
              <w:t xml:space="preserve">证明技术参数及功能的有效性</w:t>
            </w:r>
            <w:r>
              <w:rPr>
                <w:rFonts w:hint="eastAsia" w:cs="宋体" w:asciiTheme="minorEastAsia" w:hAnsiTheme="minorEastAsia" w:eastAsiaTheme="minorEastAsia"/>
                <w:b/>
                <w:bCs/>
                <w:szCs w:val="21"/>
                <w:highlight w:val="none"/>
                <w:lang w:val="en-US" w:eastAsia="zh-CN"/>
              </w:rPr>
              <w:t xml:space="preserve">的材料扫描件）</w:t>
            </w:r>
            <w:r>
              <w:rPr>
                <w:rFonts w:hint="eastAsia" w:cs="宋体" w:asciiTheme="minorEastAsia" w:hAnsiTheme="minorEastAsia" w:eastAsiaTheme="minorEastAsia"/>
                <w:b/>
                <w:bCs/>
                <w:szCs w:val="21"/>
                <w:highlight w:val="none"/>
              </w:rPr>
              <w:t xml:space="preserve">，如未</w:t>
            </w:r>
            <w:r>
              <w:rPr>
                <w:rFonts w:hint="eastAsia" w:cs="宋体" w:asciiTheme="minorEastAsia" w:hAnsiTheme="minorEastAsia" w:eastAsiaTheme="minorEastAsia"/>
                <w:b/>
                <w:bCs/>
                <w:szCs w:val="21"/>
                <w:highlight w:val="none"/>
                <w:lang w:val="en-US" w:eastAsia="zh-CN"/>
              </w:rPr>
              <w:t xml:space="preserve">提供技术支持</w:t>
            </w:r>
            <w:r>
              <w:rPr>
                <w:rFonts w:hint="eastAsia" w:cs="宋体" w:asciiTheme="minorEastAsia" w:hAnsiTheme="minorEastAsia" w:eastAsiaTheme="minorEastAsia"/>
                <w:b/>
                <w:bCs/>
                <w:szCs w:val="21"/>
                <w:highlight w:val="none"/>
              </w:rPr>
              <w:t xml:space="preserve">材料</w:t>
            </w:r>
            <w:r>
              <w:rPr>
                <w:rFonts w:hint="eastAsia" w:cs="宋体" w:asciiTheme="minorEastAsia" w:hAnsiTheme="minorEastAsia" w:eastAsiaTheme="minorEastAsia"/>
                <w:b/>
                <w:bCs/>
                <w:szCs w:val="21"/>
                <w:highlight w:val="none"/>
                <w:lang w:eastAsia="zh-CN"/>
              </w:rPr>
              <w:t xml:space="preserve">，</w:t>
            </w:r>
            <w:r>
              <w:rPr>
                <w:rFonts w:hint="eastAsia" w:cs="宋体" w:asciiTheme="minorEastAsia" w:hAnsiTheme="minorEastAsia" w:eastAsiaTheme="minorEastAsia"/>
                <w:b/>
                <w:bCs/>
                <w:szCs w:val="21"/>
                <w:highlight w:val="none"/>
              </w:rPr>
              <w:t xml:space="preserve">评标委员会认为不能佐证技术指标的有效性的，则同样视为负偏离。</w:t>
            </w:r>
            <w:r/>
          </w:p>
        </w:tc>
        <w:tc>
          <w:tcPr>
            <w:tcW w:w="587" w:type="pct"/>
            <w:vAlign w:val="center"/>
            <w:textDirection w:val="lrTb"/>
            <w:noWrap w:val="false"/>
          </w:tcPr>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30</w:t>
            </w:r>
            <w:r/>
          </w:p>
        </w:tc>
      </w:tr>
      <w:tr>
        <w:trPr>
          <w:jc w:val="center"/>
          <w:trHeight w:val="2423"/>
        </w:trPr>
        <w:tc>
          <w:tcPr>
            <w:tcW w:w="321"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4</w:t>
            </w:r>
            <w:r/>
          </w:p>
        </w:tc>
        <w:tc>
          <w:tcPr>
            <w:tcW w:w="485" w:type="pct"/>
            <w:vMerge w:val="restar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服务方案</w:t>
            </w:r>
            <w:r/>
          </w:p>
        </w:tc>
        <w:tc>
          <w:tcPr>
            <w:tcW w:w="3606" w:type="pct"/>
            <w:textDirection w:val="lrTb"/>
            <w:noWrap w:val="false"/>
          </w:tcPr>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根据投标人针对本项目提供的具体实施方案（包括但不限于项目交付、验收、 培训等内容）进行综合评审：</w:t>
            </w:r>
            <w:r/>
          </w:p>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实施方案内容全面、详细完整、科学合理且可行性高，得15 分； </w:t>
            </w:r>
            <w:r/>
          </w:p>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实施方案内容简单，条理笼统，具有一定可行性，得12分；</w:t>
            </w:r>
            <w:r/>
          </w:p>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实施方案内容简少，条理模糊，未切合实际，得9分。</w:t>
            </w:r>
            <w:r/>
          </w:p>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与本项目不符或未提供实施方案的不得分。</w:t>
            </w:r>
            <w:r/>
          </w:p>
        </w:tc>
        <w:tc>
          <w:tcPr>
            <w:tcW w:w="587" w:type="pct"/>
            <w:vAlign w:val="center"/>
            <w:textDirection w:val="lrTb"/>
            <w:noWrap w:val="false"/>
          </w:tcPr>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15</w:t>
            </w:r>
            <w:r/>
          </w:p>
        </w:tc>
      </w:tr>
      <w:tr>
        <w:trPr>
          <w:jc w:val="center"/>
          <w:trHeight w:val="3721"/>
        </w:trPr>
        <w:tc>
          <w:tcPr>
            <w:tcW w:w="321"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5</w:t>
            </w:r>
            <w:r/>
          </w:p>
        </w:tc>
        <w:tc>
          <w:tcPr>
            <w:tcW w:w="485" w:type="pct"/>
            <w:vMerge w:val="continue"/>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3606" w:type="pct"/>
            <w:textDirection w:val="lrTb"/>
            <w:noWrap w:val="false"/>
          </w:tcPr>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根据投标人针对本项目提供的售后服务方案（包括但不限于售后服务人员、时间、服务具体内容等）进行综合评审：</w:t>
            </w:r>
            <w:r/>
          </w:p>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服务方案全面，细致，有针对性，且售后服务人员、时间、服务方案周全的，得9分；</w:t>
            </w:r>
            <w:r/>
          </w:p>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服务方案较全面，细致，有较强针对性，且售后服务人员、时间、服务方案基 本周全的，得6分；</w:t>
            </w:r>
            <w:r/>
          </w:p>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服务方案不够全面，细致，无针对性，且售后服务人员、时间、服务方案内容不够周全的，得3分。</w:t>
            </w:r>
            <w:r/>
          </w:p>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与本项目不符或未提供售后服务方案的不得分。</w:t>
            </w:r>
            <w:r/>
          </w:p>
        </w:tc>
        <w:tc>
          <w:tcPr>
            <w:tcW w:w="587"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9</w:t>
            </w:r>
            <w:r/>
          </w:p>
        </w:tc>
      </w:tr>
      <w:tr>
        <w:trPr>
          <w:jc w:val="center"/>
          <w:trHeight w:val="4051"/>
        </w:trPr>
        <w:tc>
          <w:tcPr>
            <w:tcW w:w="321"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6</w:t>
            </w:r>
            <w:r/>
          </w:p>
        </w:tc>
        <w:tc>
          <w:tcPr>
            <w:tcW w:w="485" w:type="pct"/>
            <w:vMerge w:val="continue"/>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3606" w:type="pct"/>
            <w:textDirection w:val="lrTb"/>
            <w:noWrap w:val="false"/>
          </w:tcPr>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根据投标人对本项目供货产品质保期及配件更换方案进行综合评审：</w:t>
            </w:r>
            <w:r/>
          </w:p>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1.投标人所投产品质保期响应招标文件最低要求下每增加半年加1分，最高得6分。未提供者不得分。（投标文件需提供加盖投标人公章的质保期承诺 书）。</w:t>
            </w:r>
            <w:r/>
          </w:p>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2.根据投标人列举所投产品可更换维修的配件清单及单价（包括但不限于所投产品种类、价格合理性等）进行综合评审：</w:t>
            </w:r>
            <w:r/>
          </w:p>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更换维修配件清单全面、具有针对性、详细完整、价格合理，得 5 分； </w:t>
            </w:r>
            <w:r/>
          </w:p>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更换维修配件清单较为全面、基本完整、价格较为合理，得 2 分；   </w:t>
            </w:r>
            <w:r/>
          </w:p>
          <w:p>
            <w:pPr>
              <w:numPr>
                <w:ilvl w:val="0"/>
                <w:numId w:val="0"/>
              </w:numPr>
              <w:ind w:firstLine="420"/>
              <w:pageBreakBefore w:val="0"/>
              <w:spacing w:line="360" w:lineRule="auto"/>
              <w:tabs>
                <w:tab w:val="left" w:pos="630" w:leader="none"/>
              </w:tabs>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更换维修配件清单的全面性、完整性、价格合理性一般，得 1 分；  </w:t>
            </w:r>
            <w:r/>
          </w:p>
          <w:p>
            <w:pPr>
              <w:numPr>
                <w:ilvl w:val="0"/>
                <w:numId w:val="0"/>
              </w:numPr>
              <w:ind w:firstLine="420"/>
              <w:pageBreakBefore w:val="0"/>
              <w:spacing w:line="360" w:lineRule="auto"/>
              <w:tabs>
                <w:tab w:val="left" w:pos="630" w:leader="none"/>
              </w:tabs>
              <w:rPr>
                <w:rFonts w:cs="宋体" w:asciiTheme="minorEastAsia" w:hAnsiTheme="minorEastAsia" w:eastAsiaTheme="minorEastAsia"/>
                <w:szCs w:val="21"/>
                <w:highlight w:val="none"/>
              </w:rPr>
            </w:pPr>
            <w:r>
              <w:rPr>
                <w:rFonts w:hint="eastAsia" w:ascii="宋体" w:hAnsi="宋体" w:cs="宋体"/>
                <w:bCs/>
                <w:szCs w:val="21"/>
                <w:highlight w:val="none"/>
                <w:lang w:val="en-US" w:eastAsia="zh-CN"/>
              </w:rPr>
              <w:t xml:space="preserve">与本项目不符或未提供更换方案的不得分。</w:t>
            </w:r>
            <w:r/>
          </w:p>
        </w:tc>
        <w:tc>
          <w:tcPr>
            <w:tcW w:w="587" w:type="pc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11</w:t>
            </w:r>
            <w:r/>
          </w:p>
        </w:tc>
      </w:tr>
      <w:tr>
        <w:trPr>
          <w:jc w:val="center"/>
          <w:trHeight w:val="706"/>
        </w:trPr>
        <w:tc>
          <w:tcPr>
            <w:gridSpan w:val="3"/>
            <w:tcW w:w="4412" w:type="pct"/>
            <w:vAlign w:val="center"/>
            <w:textDirection w:val="lrTb"/>
            <w:noWrap w:val="false"/>
          </w:tcPr>
          <w:p>
            <w:pPr>
              <w:jc w:val="both"/>
              <w:spacing w:line="360" w:lineRule="auto"/>
              <w:widowControl/>
              <w:rPr>
                <w:rFonts w:hint="eastAsia"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合计：</w:t>
            </w:r>
            <w:r/>
          </w:p>
        </w:tc>
        <w:tc>
          <w:tcPr>
            <w:tcW w:w="587" w:type="pct"/>
            <w:vAlign w:val="center"/>
            <w:textDirection w:val="lrTb"/>
            <w:noWrap w:val="false"/>
          </w:tcPr>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100</w:t>
            </w:r>
            <w:r/>
          </w:p>
        </w:tc>
      </w:tr>
    </w:tbl>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注：1.上述响应文件中，证书或证明或业绩必须提供复印件或扫描件（加盖供应商公章），如发现弄虚作假的，将按照本采购文件相关条款规定予以处理。 </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2.评委依据采购文件载明的方法</w:t>
      </w:r>
      <w:r>
        <w:rPr>
          <w:rFonts w:hint="eastAsia" w:ascii="宋体" w:hAnsi="宋体" w:cs="宋体"/>
          <w:b/>
          <w:bCs/>
          <w:color w:val="auto"/>
          <w:szCs w:val="21"/>
          <w:highlight w:val="none"/>
          <w:lang w:val="en-US" w:eastAsia="zh-CN"/>
        </w:rPr>
        <w:t xml:space="preserve">进行</w:t>
      </w:r>
      <w:r>
        <w:rPr>
          <w:rFonts w:hint="eastAsia" w:ascii="宋体" w:hAnsi="宋体" w:cs="宋体"/>
          <w:b/>
          <w:bCs/>
          <w:color w:val="auto"/>
          <w:szCs w:val="21"/>
          <w:highlight w:val="none"/>
        </w:rPr>
        <w:t xml:space="preserve">评分，评分四舍五入精确到小数点后两位。</w:t>
      </w:r>
      <w:r/>
    </w:p>
    <w:p>
      <w:pPr>
        <w:ind w:firstLine="482"/>
        <w:pageBreakBefore w:val="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政府采购政策功能落实：</w:t>
      </w:r>
      <w:r>
        <w:rPr>
          <w:rFonts w:hint="eastAsia" w:ascii="宋体" w:hAnsi="宋体" w:cs="宋体"/>
          <w:b/>
          <w:bCs/>
          <w:szCs w:val="21"/>
          <w:highlight w:val="none"/>
        </w:rPr>
        <w:t xml:space="preserve">不专门面向中小微企业、监狱企业、残疾人福利性单位</w:t>
      </w:r>
      <w:r>
        <w:rPr>
          <w:rFonts w:hint="eastAsia" w:ascii="宋体" w:hAnsi="宋体" w:cs="宋体"/>
          <w:b/>
          <w:bCs/>
          <w:szCs w:val="21"/>
          <w:highlight w:val="none"/>
          <w:lang w:eastAsia="zh-CN"/>
        </w:rPr>
        <w:t xml:space="preserve">，在响应文件</w:t>
      </w:r>
      <w:r>
        <w:rPr>
          <w:rFonts w:hint="eastAsia" w:ascii="宋体" w:hAnsi="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投标人，对小型和微型企业产品的价格给予10%的扣除。</w:t>
      </w:r>
      <w:r/>
    </w:p>
    <w:p>
      <w:pPr>
        <w:ind w:firstLine="420"/>
        <w:pageBreakBefore w:val="0"/>
        <w:spacing w:line="360" w:lineRule="auto"/>
        <w:rPr>
          <w:rFonts w:hint="eastAsia" w:ascii="宋体" w:hAnsi="宋体" w:cs="宋体"/>
          <w:b/>
          <w:bCs/>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.根据《关于推动解决政府采购异常低价问题相关工作的通知》（苏财购〔2025〕62号）精神，</w:t>
      </w:r>
      <w:r>
        <w:rPr>
          <w:rFonts w:hint="eastAsia" w:ascii="宋体" w:hAnsi="宋体" w:cs="宋体"/>
          <w:b/>
          <w:bCs/>
          <w:szCs w:val="21"/>
          <w:highlight w:val="none"/>
        </w:rPr>
        <w:t xml:space="preserve">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.1投标（响应）报价低于采购项目预算 50%的，即投标（响应）报价＜采购项目预算 ×50%；</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.2投标（响应）报价低于采购项目最高限价45%的，即投标（响应）报价＜采购项目最高限价 ×45%；</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.3评审委员会认定的供应商报价过低、有可能影响产品质量或者不能诚信履约的其他情形。</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启动异常低价投标（响应）审查后，评审委员会应当要求相关供应商在评标现场合理的时间内，提供项目具体成本测算等与报价合理性相关的书面说明及相关证明材料</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六、成交供应商的确定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磋商小组汇总各评委评分后，按照得分从高到低的顺序推荐3名成交候选人，并编写评审报告。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采购人委托磋商小组直接确定排名第一的成交候选人为成交供应商。</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七、公告成交结果及发放成交通知书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883"/>
        <w:pageBreakBefore w:val="0"/>
        <w:spacing w:line="360" w:lineRule="auto"/>
        <w:tabs>
          <w:tab w:val="left" w:pos="360" w:leader="none"/>
          <w:tab w:val="left" w:pos="1080" w:leader="none"/>
        </w:tabs>
        <w:rPr>
          <w:rFonts w:hint="eastAsia" w:ascii="宋体" w:hAnsi="宋体" w:cs="宋体"/>
          <w:b/>
          <w:bCs/>
          <w:color w:val="auto"/>
          <w:szCs w:val="21"/>
          <w:highlight w:val="none"/>
        </w:rPr>
      </w:pPr>
      <w:r>
        <w:rPr>
          <w:rFonts w:hint="eastAsia"/>
          <w:b/>
          <w:color w:val="auto"/>
          <w:sz w:val="44"/>
          <w:szCs w:val="44"/>
          <w:highlight w:val="none"/>
        </w:rPr>
        <w:br w:type="page" w:clear="all"/>
      </w:r>
      <w:r/>
    </w:p>
    <w:p>
      <w:pPr>
        <w:pStyle w:val="1195"/>
        <w:pageBreakBefore w:val="0"/>
        <w:spacing w:line="360" w:lineRule="auto"/>
        <w:rPr>
          <w:rFonts w:hint="eastAsia" w:ascii="宋体" w:hAnsi="宋体"/>
          <w:bCs w:val="0"/>
          <w:color w:val="auto"/>
          <w:sz w:val="21"/>
          <w:szCs w:val="21"/>
          <w:highlight w:val="none"/>
        </w:rPr>
      </w:pPr>
      <w:r/>
      <w:bookmarkStart w:id="104" w:name="_Toc107246273"/>
      <w:r>
        <w:rPr>
          <w:rFonts w:hint="eastAsia" w:ascii="宋体" w:hAnsi="宋体"/>
          <w:bCs w:val="0"/>
          <w:color w:val="auto"/>
          <w:sz w:val="21"/>
          <w:szCs w:val="21"/>
          <w:highlight w:val="none"/>
        </w:rPr>
        <w:t xml:space="preserve">第六章 响应文件格式</w:t>
      </w:r>
      <w:bookmarkEnd w:id="104"/>
      <w:r/>
      <w:r/>
    </w:p>
    <w:p>
      <w:pPr>
        <w:pageBreakBefore w:val="0"/>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一、资格审查文件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1.法定代表人身份证明书及法定代表人身份证复印件；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2.法定代表人授权委托书及授权委托人身份证复印件（如有）；</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3.响应人营业执照复印件；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4.供应</w:t>
      </w:r>
      <w:r>
        <w:rPr>
          <w:rFonts w:hint="eastAsia" w:ascii="宋体" w:hAnsi="宋体" w:cs="宋体"/>
          <w:color w:val="auto"/>
          <w:szCs w:val="21"/>
          <w:highlight w:val="none"/>
          <w:u w:val="single"/>
          <w:lang w:eastAsia="zh-CN"/>
        </w:rPr>
        <w:t xml:space="preserve">商最</w:t>
      </w:r>
      <w:r>
        <w:rPr>
          <w:rFonts w:hint="eastAsia" w:ascii="宋体" w:hAnsi="宋体" w:cs="宋体"/>
          <w:color w:val="auto"/>
          <w:szCs w:val="21"/>
          <w:highlight w:val="none"/>
          <w:u w:val="single"/>
        </w:rPr>
        <w:t xml:space="preserve">近六个月中任意一个月（不含投标当月）的财务状况报告（资产负债表和利润表）或由会计师事务所出具的近两年中任意一个年度的审计报告和所附已</w:t>
      </w:r>
      <w:r>
        <w:rPr>
          <w:rFonts w:hint="eastAsia" w:ascii="宋体" w:hAnsi="宋体" w:cs="宋体"/>
          <w:color w:val="auto"/>
          <w:szCs w:val="21"/>
          <w:highlight w:val="none"/>
          <w:u w:val="single"/>
          <w:lang w:eastAsia="zh-CN"/>
        </w:rPr>
        <w:t xml:space="preserve">审计</w:t>
      </w:r>
      <w:r>
        <w:rPr>
          <w:rFonts w:hint="eastAsia" w:ascii="宋体" w:hAnsi="宋体" w:cs="宋体"/>
          <w:color w:val="auto"/>
          <w:szCs w:val="21"/>
          <w:highlight w:val="none"/>
          <w:u w:val="single"/>
        </w:rPr>
        <w:t xml:space="preserve">财务报告扫描件； </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5.供应</w:t>
      </w:r>
      <w:r>
        <w:rPr>
          <w:rFonts w:hint="eastAsia" w:ascii="宋体" w:hAnsi="宋体" w:cs="宋体"/>
          <w:color w:val="auto"/>
          <w:szCs w:val="21"/>
          <w:highlight w:val="none"/>
          <w:u w:val="single"/>
          <w:lang w:eastAsia="zh-CN"/>
        </w:rPr>
        <w:t xml:space="preserve">商最</w:t>
      </w:r>
      <w:r>
        <w:rPr>
          <w:rFonts w:hint="eastAsia" w:ascii="宋体" w:hAnsi="宋体" w:cs="宋体"/>
          <w:color w:val="auto"/>
          <w:szCs w:val="21"/>
          <w:highlight w:val="none"/>
          <w:u w:val="single"/>
        </w:rPr>
        <w:t xml:space="preserve">近六个月中任意一个月（不含投标当月）的依法缴纳税收的相关材料（提供相关主管部门证明或银行代扣证明）扫描件； </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6.提供供应商近六个月中任意一个月（不含投标当月）的所在地社保机构出具的</w:t>
      </w:r>
      <w:r>
        <w:rPr>
          <w:rFonts w:hint="eastAsia" w:ascii="宋体" w:hAnsi="宋体" w:cs="宋体"/>
          <w:bCs/>
          <w:color w:val="auto"/>
          <w:szCs w:val="21"/>
          <w:highlight w:val="none"/>
          <w:u w:val="single"/>
        </w:rPr>
        <w:t xml:space="preserve">社保缴费证明材料</w:t>
      </w:r>
      <w:r>
        <w:rPr>
          <w:rFonts w:hint="eastAsia" w:ascii="宋体" w:hAnsi="宋体" w:cs="宋体"/>
          <w:color w:val="auto"/>
          <w:szCs w:val="21"/>
          <w:highlight w:val="none"/>
          <w:u w:val="single"/>
        </w:rPr>
        <w:t xml:space="preserve">，</w:t>
      </w:r>
      <w:r>
        <w:rPr>
          <w:rFonts w:hint="eastAsia" w:ascii="宋体" w:hAnsi="宋体" w:cs="宋体"/>
          <w:bCs/>
          <w:color w:val="auto"/>
          <w:szCs w:val="21"/>
          <w:highlight w:val="none"/>
          <w:u w:val="single"/>
        </w:rPr>
        <w:t xml:space="preserve">成立不满一年的投标人无需提供社保缴费证明材料，但需提供书面情况说明及相关凭证</w:t>
      </w:r>
      <w:r>
        <w:rPr>
          <w:rFonts w:hint="eastAsia" w:ascii="宋体" w:hAnsi="宋体" w:cs="宋体"/>
          <w:color w:val="auto"/>
          <w:szCs w:val="21"/>
          <w:highlight w:val="none"/>
          <w:u w:val="single"/>
        </w:rPr>
        <w:t xml:space="preserve">；</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7.投标人符合《中华人民共和国政府采购法》第二十二条规定条件的承诺函；</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8.诚信承诺书；</w:t>
      </w:r>
      <w:r/>
    </w:p>
    <w:p>
      <w:pPr>
        <w:ind w:firstLine="48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szCs w:val="21"/>
          <w:highlight w:val="none"/>
          <w:u w:val="single"/>
        </w:rPr>
        <w:t xml:space="preserve">9</w:t>
      </w:r>
      <w:r>
        <w:rPr>
          <w:rFonts w:hint="eastAsia" w:ascii="宋体" w:hAnsi="宋体" w:cs="宋体"/>
          <w:bCs/>
          <w:color w:val="auto"/>
          <w:szCs w:val="21"/>
          <w:highlight w:val="none"/>
          <w:u w:val="single"/>
        </w:rPr>
        <w:t xml:space="preserve">.供应商未被列入失信被执行人名单、政府采购严重违法失信行为记录名单网站查询证明材料；</w:t>
      </w:r>
      <w:r/>
    </w:p>
    <w:p>
      <w:pPr>
        <w:ind w:firstLine="480"/>
        <w:pageBreakBefore w:val="0"/>
        <w:spacing w:line="360" w:lineRule="auto"/>
        <w:rPr>
          <w:rFonts w:hint="eastAsia" w:ascii="宋体" w:hAnsi="宋体" w:cs="宋体"/>
          <w:bCs/>
          <w:color w:val="auto"/>
          <w:szCs w:val="21"/>
          <w:highlight w:val="none"/>
          <w:u w:val="single"/>
          <w:lang w:eastAsia="zh-CN"/>
        </w:rPr>
      </w:pPr>
      <w:r>
        <w:rPr>
          <w:rFonts w:hint="eastAsia" w:ascii="宋体" w:hAnsi="宋体" w:cs="宋体"/>
          <w:bCs/>
          <w:color w:val="auto"/>
          <w:szCs w:val="21"/>
          <w:highlight w:val="none"/>
          <w:u w:val="single"/>
        </w:rPr>
        <w:t xml:space="preserve">10.《中小企业声明函》或《残疾人福利性单位声明函》或监狱和戒毒企业证明材料</w:t>
      </w:r>
      <w:r>
        <w:rPr>
          <w:rFonts w:hint="eastAsia" w:ascii="宋体" w:hAnsi="宋体" w:cs="宋体"/>
          <w:bCs/>
          <w:color w:val="auto"/>
          <w:szCs w:val="21"/>
          <w:highlight w:val="none"/>
          <w:u w:val="single"/>
          <w:lang w:eastAsia="zh-CN"/>
        </w:rPr>
        <w:t xml:space="preserve">；</w:t>
      </w:r>
      <w:r/>
    </w:p>
    <w:p>
      <w:pPr>
        <w:pStyle w:val="1187"/>
        <w:ind w:firstLine="420"/>
        <w:rPr>
          <w:rFonts w:hint="default" w:ascii="宋体" w:hAnsi="宋体" w:eastAsia="宋体" w:cs="宋体"/>
          <w:bCs/>
          <w:color w:val="auto"/>
          <w:sz w:val="21"/>
          <w:szCs w:val="21"/>
          <w:highlight w:val="none"/>
          <w:u w:val="single"/>
          <w:lang w:val="en-US" w:eastAsia="zh-CN" w:bidi="ar-SA"/>
        </w:rPr>
      </w:pPr>
      <w:r>
        <w:rPr>
          <w:rFonts w:hint="eastAsia" w:ascii="宋体" w:hAnsi="宋体" w:eastAsia="宋体" w:cs="宋体"/>
          <w:bCs/>
          <w:color w:val="auto"/>
          <w:sz w:val="21"/>
          <w:szCs w:val="21"/>
          <w:highlight w:val="none"/>
          <w:u w:val="single"/>
          <w:lang w:val="en-US" w:eastAsia="zh-CN" w:bidi="ar-SA"/>
        </w:rPr>
        <w:t xml:space="preserve">11.《关于符合本国产品标准的声明函》</w:t>
      </w:r>
      <w:r>
        <w:rPr>
          <w:rFonts w:hint="eastAsia" w:ascii="宋体" w:hAnsi="宋体" w:cs="宋体"/>
          <w:bCs/>
          <w:color w:val="auto"/>
          <w:sz w:val="21"/>
          <w:szCs w:val="21"/>
          <w:highlight w:val="none"/>
          <w:u w:val="single"/>
          <w:lang w:val="en-US" w:eastAsia="zh-CN" w:bidi="ar-SA"/>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注：上述1—1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中任何一条不符合要求，则资格性审查不通过，按无效响应文件处理。</w:t>
      </w:r>
      <w:r/>
    </w:p>
    <w:p>
      <w:pPr>
        <w:pStyle w:val="1211"/>
        <w:ind w:firstLine="480"/>
        <w:pageBreakBefore w:val="0"/>
        <w:spacing w:line="360" w:lineRule="auto"/>
        <w:rPr>
          <w:rFonts w:hint="eastAsia" w:cs="宋体"/>
          <w:color w:val="auto"/>
          <w:highlight w:val="none"/>
          <w:lang w:val="zh-CN" w:eastAsia="zh-CN"/>
        </w:rPr>
      </w:pPr>
      <w:r>
        <w:rPr>
          <w:rFonts w:hint="eastAsia" w:cs="宋体"/>
          <w:color w:val="auto"/>
          <w:highlight w:val="none"/>
          <w:lang w:val="zh-CN" w:eastAsia="zh-CN"/>
        </w:rPr>
        <w:t xml:space="preserve">（</w:t>
      </w:r>
      <w:r>
        <w:rPr>
          <w:rFonts w:hint="eastAsia" w:cs="宋体"/>
          <w:color w:val="auto"/>
          <w:highlight w:val="none"/>
          <w:lang w:eastAsia="zh-CN"/>
        </w:rPr>
        <w:t xml:space="preserve">磋商</w:t>
      </w:r>
      <w:r>
        <w:rPr>
          <w:rFonts w:hint="eastAsia" w:cs="宋体"/>
          <w:color w:val="auto"/>
          <w:highlight w:val="none"/>
          <w:lang w:val="zh-CN" w:eastAsia="zh-CN"/>
        </w:rPr>
        <w:t xml:space="preserve">文件要求提供的</w:t>
      </w:r>
      <w:r>
        <w:rPr>
          <w:rFonts w:hint="eastAsia" w:cs="宋体"/>
          <w:b/>
          <w:bCs/>
          <w:color w:val="auto"/>
          <w:highlight w:val="none"/>
          <w:lang w:val="zh-CN" w:eastAsia="zh-CN"/>
        </w:rPr>
        <w:t xml:space="preserve">资格审查证明材料</w:t>
      </w:r>
      <w:r>
        <w:rPr>
          <w:rFonts w:hint="eastAsia" w:cs="宋体"/>
          <w:color w:val="auto"/>
          <w:highlight w:val="none"/>
          <w:lang w:val="zh-CN" w:eastAsia="zh-CN"/>
        </w:rPr>
        <w:t xml:space="preserve">中没有对应的接口上传的资料，可以在本部分的其他材料的接口中上传）</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二、符合性审查文件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1.竞争性磋商响应函（格式参见第六章）；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2.报价明细表；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3.供应商情况表；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4.技术商务条款响应正负偏离表（格式参见第六章）；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5.第四章项目需求中要求提供的材料；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6.项目组成人员表；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7.供应商认为需要提交的其他资料。</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三、商务技术文件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1.评审办法中所涉及的事项需提供的所有资料；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2.评审办法中未涉及的事项，供应商认为需要提交的其他资料。</w:t>
      </w:r>
      <w:r/>
    </w:p>
    <w:p>
      <w:pPr>
        <w:ind w:firstLine="480"/>
        <w:pageBreakBefore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注：为方便评委评审，请供应商按评审办法中所涉及的事项顺序进行编制，可以补充相关材料；</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四、报价响应文件</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1.磋商响应报价表（开标一览表）；</w:t>
      </w:r>
      <w:r/>
    </w:p>
    <w:p>
      <w:pPr>
        <w:ind w:firstLine="422"/>
        <w:pageBreakBefore w:val="0"/>
        <w:spacing w:before="100" w:after="100" w:line="360" w:lineRule="auto"/>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pageBreakBefore w:val="0"/>
        <w:spacing w:before="100" w:after="100" w:line="360" w:lineRule="auto"/>
        <w:rPr>
          <w:rFonts w:hint="eastAsia" w:ascii="宋体" w:hAnsi="宋体" w:cs="宋体"/>
          <w:b/>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rPr>
      </w:r>
      <w:r/>
    </w:p>
    <w:p>
      <w:pPr>
        <w:pageBreakBefore w:val="0"/>
        <w:spacing w:before="100" w:after="100"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封面</w:t>
      </w:r>
      <w:r/>
    </w:p>
    <w:p>
      <w:pPr>
        <w:ind w:right="640"/>
        <w:jc w:val="center"/>
        <w:pageBreakBefore w:val="0"/>
        <w:spacing w:line="360" w:lineRule="auto"/>
        <w:rPr>
          <w:rFonts w:hint="eastAsia" w:ascii="Microsoft New Tai Lue" w:hAnsi="Microsoft New Tai Lue" w:cs="Microsoft New Tai Lue"/>
          <w:b/>
          <w:color w:val="auto"/>
          <w:sz w:val="44"/>
          <w:szCs w:val="44"/>
          <w:highlight w:val="none"/>
          <w:lang w:eastAsia="zh-CN"/>
        </w:rPr>
      </w:pPr>
      <w:r>
        <w:rPr>
          <w:rFonts w:hint="eastAsia" w:ascii="Microsoft New Tai Lue" w:hAnsi="Microsoft New Tai Lue" w:cs="Microsoft New Tai Lue"/>
          <w:b/>
          <w:color w:val="auto"/>
          <w:sz w:val="44"/>
          <w:szCs w:val="44"/>
          <w:highlight w:val="none"/>
          <w:lang w:eastAsia="zh-CN"/>
        </w:rPr>
      </w:r>
      <w:r/>
    </w:p>
    <w:p>
      <w:pPr>
        <w:ind w:right="640"/>
        <w:jc w:val="center"/>
        <w:pageBreakBefore w:val="0"/>
        <w:spacing w:line="360" w:lineRule="auto"/>
        <w:rPr>
          <w:rFonts w:hint="eastAsia" w:ascii="Microsoft New Tai Lue" w:hAnsi="Microsoft New Tai Lue" w:cs="Microsoft New Tai Lue"/>
          <w:b/>
          <w:color w:val="auto"/>
          <w:sz w:val="44"/>
          <w:szCs w:val="44"/>
          <w:highlight w:val="none"/>
          <w:lang w:eastAsia="zh-CN"/>
        </w:rPr>
      </w:pPr>
      <w:r>
        <w:rPr>
          <w:rFonts w:hint="eastAsia" w:ascii="Microsoft New Tai Lue" w:hAnsi="Microsoft New Tai Lue" w:cs="Microsoft New Tai Lue"/>
          <w:b/>
          <w:color w:val="auto"/>
          <w:sz w:val="44"/>
          <w:szCs w:val="44"/>
          <w:highlight w:val="none"/>
          <w:lang w:eastAsia="zh-CN"/>
        </w:rPr>
      </w:r>
      <w:r/>
    </w:p>
    <w:p>
      <w:pPr>
        <w:pStyle w:val="1201"/>
        <w:ind w:left="3486" w:hanging="2209"/>
        <w:jc w:val="both"/>
        <w:pageBreakBefore w:val="0"/>
        <w:spacing w:line="360" w:lineRule="auto"/>
        <w:rPr>
          <w:rFonts w:hint="eastAsia" w:ascii="新宋体" w:hAnsi="新宋体" w:eastAsia="新宋体"/>
          <w:b/>
          <w:bCs/>
          <w:color w:val="auto"/>
          <w:sz w:val="44"/>
          <w:szCs w:val="44"/>
          <w:highlight w:val="none"/>
          <w:lang w:eastAsia="zh-CN"/>
        </w:rPr>
      </w:pPr>
      <w:r>
        <w:rPr>
          <w:rFonts w:hint="eastAsia" w:ascii="新宋体" w:hAnsi="新宋体" w:eastAsia="新宋体"/>
          <w:b/>
          <w:bCs/>
          <w:color w:val="auto"/>
          <w:sz w:val="44"/>
          <w:szCs w:val="44"/>
          <w:highlight w:val="none"/>
          <w:lang w:eastAsia="zh-CN"/>
        </w:rPr>
        <w:t xml:space="preserve">泰州生物医药产业园专职消防救援站消防通信器材</w:t>
      </w:r>
      <w:r/>
    </w:p>
    <w:p>
      <w:pPr>
        <w:pStyle w:val="1196"/>
        <w:ind w:firstLine="321"/>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1196"/>
        <w:ind w:firstLine="321"/>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1212"/>
        <w:pageBreakBefore w:val="0"/>
        <w:spacing w:line="360" w:lineRule="auto"/>
        <w:rPr>
          <w:color w:val="auto"/>
          <w:highlight w:val="none"/>
        </w:rPr>
      </w:pPr>
      <w:r>
        <w:rPr>
          <w:color w:val="auto"/>
          <w:highlight w:val="none"/>
        </w:rPr>
      </w:r>
      <w:r/>
    </w:p>
    <w:p>
      <w:pPr>
        <w:pStyle w:val="1189"/>
        <w:jc w:val="center"/>
        <w:pageBreakBefore w:val="0"/>
        <w:spacing w:line="360" w:lineRule="auto"/>
        <w:rPr>
          <w:rFonts w:ascii="Microsoft New Tai Lue" w:hAnsi="Microsoft New Tai Lue" w:cs="Microsoft New Tai Lue"/>
          <w:b/>
          <w:color w:val="auto"/>
          <w:sz w:val="84"/>
          <w:szCs w:val="84"/>
          <w:highlight w:val="none"/>
        </w:rPr>
      </w:pPr>
      <w:r/>
      <w:bookmarkStart w:id="105" w:name="_Toc100905255"/>
      <w:r>
        <w:rPr>
          <w:rFonts w:hint="eastAsia" w:ascii="Microsoft New Tai Lue" w:hAnsi="Microsoft New Tai Lue" w:cs="Microsoft New Tai Lue"/>
          <w:b/>
          <w:color w:val="auto"/>
          <w:sz w:val="84"/>
          <w:szCs w:val="84"/>
          <w:highlight w:val="none"/>
        </w:rPr>
        <w:t xml:space="preserve">响</w:t>
      </w:r>
      <w:r>
        <w:rPr>
          <w:rFonts w:ascii="Microsoft New Tai Lue" w:hAnsi="Microsoft New Tai Lue" w:cs="Microsoft New Tai Lue"/>
          <w:b/>
          <w:color w:val="auto"/>
          <w:sz w:val="84"/>
          <w:szCs w:val="84"/>
          <w:highlight w:val="none"/>
        </w:rPr>
        <w:t xml:space="preserve"> </w:t>
      </w:r>
      <w:r>
        <w:rPr>
          <w:rFonts w:hint="eastAsia" w:ascii="Microsoft New Tai Lue" w:hAnsi="Microsoft New Tai Lue" w:cs="Microsoft New Tai Lue"/>
          <w:b/>
          <w:color w:val="auto"/>
          <w:sz w:val="84"/>
          <w:szCs w:val="84"/>
          <w:highlight w:val="none"/>
        </w:rPr>
        <w:t xml:space="preserve"> 应</w:t>
      </w:r>
      <w:r>
        <w:rPr>
          <w:rFonts w:ascii="Microsoft New Tai Lue" w:hAnsi="Microsoft New Tai Lue" w:cs="Microsoft New Tai Lue"/>
          <w:b/>
          <w:color w:val="auto"/>
          <w:sz w:val="84"/>
          <w:szCs w:val="84"/>
          <w:highlight w:val="none"/>
        </w:rPr>
        <w:t xml:space="preserve"> 文 件</w:t>
      </w:r>
      <w:bookmarkEnd w:id="105"/>
      <w:r/>
      <w:r/>
    </w:p>
    <w:p>
      <w:pPr>
        <w:ind w:right="640"/>
        <w:jc w:val="center"/>
        <w:pageBreakBefore w:val="0"/>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firstLine="2209"/>
        <w:pageBreakBefore w:val="0"/>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w:t>
      </w:r>
      <w:r/>
    </w:p>
    <w:p>
      <w:pPr>
        <w:pStyle w:val="1189"/>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89"/>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89"/>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89"/>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89"/>
        <w:jc w:val="center"/>
        <w:pageBreakBefore w:val="0"/>
        <w:spacing w:line="360" w:lineRule="auto"/>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1189"/>
        <w:jc w:val="center"/>
        <w:pageBreakBefore w:val="0"/>
        <w:spacing w:line="360" w:lineRule="auto"/>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p>
    <w:p>
      <w:pPr>
        <w:jc w:val="center"/>
        <w:pageBreakBefore w:val="0"/>
        <w:spacing w:line="360" w:lineRule="auto"/>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二〇二</w:t>
      </w:r>
      <w:r>
        <w:rPr>
          <w:rFonts w:hint="eastAsia" w:ascii="Microsoft New Tai Lue" w:hAnsi="Microsoft New Tai Lue" w:cs="Microsoft New Tai Lue"/>
          <w:b/>
          <w:color w:val="auto"/>
          <w:sz w:val="32"/>
          <w:highlight w:val="none"/>
          <w:lang w:val="en-US" w:eastAsia="zh-CN"/>
        </w:rPr>
        <w:t xml:space="preserve">六</w:t>
      </w:r>
      <w:r>
        <w:rPr>
          <w:rFonts w:ascii="Microsoft New Tai Lue" w:hAnsi="Microsoft New Tai Lue" w:cs="Microsoft New Tai Lue"/>
          <w:b/>
          <w:color w:val="auto"/>
          <w:sz w:val="32"/>
          <w:highlight w:val="none"/>
        </w:rPr>
        <w:t xml:space="preserve">年  月  日</w:t>
      </w:r>
      <w:r/>
    </w:p>
    <w:p>
      <w:pPr>
        <w:pageBreakBefore w:val="0"/>
        <w:spacing w:line="360" w:lineRule="auto"/>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br w:type="page" w:clear="all"/>
      </w:r>
      <w:bookmarkEnd w:id="101"/>
      <w:r/>
      <w:bookmarkEnd w:id="102"/>
      <w:r/>
      <w:bookmarkEnd w:id="103"/>
      <w:r/>
      <w:bookmarkStart w:id="106" w:name="_Toc337816640"/>
      <w:r/>
      <w:bookmarkStart w:id="107" w:name="_Toc456102676"/>
      <w:r/>
      <w:bookmarkStart w:id="108" w:name="_Toc456102122"/>
      <w:r/>
      <w:bookmarkStart w:id="109" w:name="_Toc456102499"/>
      <w:r/>
      <w:r/>
    </w:p>
    <w:p>
      <w:pPr>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附件：</w:t>
      </w:r>
      <w:r/>
    </w:p>
    <w:p>
      <w:pPr>
        <w:jc w:val="center"/>
        <w:pageBreakBefore w:val="0"/>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1.法定代表人身份证明</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磋商响应人（盖法人章）：</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法定代表人（单位负责人）有效期内的身份证复印件（正反面）</w:t>
      </w:r>
      <w:r/>
    </w:p>
    <w:tbl>
      <w:tblPr>
        <w:tblStyle w:val="118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187"/>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77"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pStyle w:val="1185"/>
        <w:pageBreakBefore w:val="0"/>
        <w:spacing w:line="360" w:lineRule="auto"/>
        <w:rPr>
          <w:color w:val="auto"/>
          <w:highlight w:val="none"/>
        </w:rPr>
      </w:pPr>
      <w:r>
        <w:rPr>
          <w:color w:val="auto"/>
          <w:highlight w:val="none"/>
        </w:rPr>
      </w:r>
      <w:r/>
    </w:p>
    <w:p>
      <w:pPr>
        <w:pStyle w:val="1181"/>
        <w:ind w:firstLine="422"/>
        <w:pageBreakBefore w:val="0"/>
        <w:spacing w:before="0" w:after="0" w:line="360" w:lineRule="auto"/>
        <w:rPr>
          <w:rFonts w:hint="eastAsia" w:ascii="宋体" w:hAnsi="宋体" w:eastAsia="宋体"/>
          <w:color w:val="auto"/>
          <w:sz w:val="21"/>
          <w:szCs w:val="21"/>
          <w:highlight w:val="none"/>
        </w:rPr>
        <w:sectPr>
          <w:footerReference w:type="default" r:id="rId19"/>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1181"/>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2.法定代表人授权书</w:t>
      </w:r>
      <w:r/>
    </w:p>
    <w:p>
      <w:pPr>
        <w:pStyle w:val="1213"/>
        <w:ind w:firstLine="422"/>
        <w:jc w:val="center"/>
        <w:pageBreakBefore w:val="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1213"/>
        <w:ind w:left="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项目采购活动的合法代理人，以本公司名义全权处理一切与该项目采购有关的事务</w:t>
      </w:r>
      <w:r>
        <w:rPr>
          <w:rFonts w:hint="eastAsia"/>
          <w:color w:val="auto"/>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代理人无转委托权，特此委托。</w:t>
      </w:r>
      <w:r/>
    </w:p>
    <w:p>
      <w:pPr>
        <w:pStyle w:val="1213"/>
        <w:ind w:firstLine="420"/>
        <w:pageBreakBefore w:val="0"/>
        <w:spacing w:line="360" w:lineRule="auto"/>
        <w:rPr>
          <w:color w:val="auto"/>
          <w:sz w:val="21"/>
          <w:szCs w:val="21"/>
          <w:highlight w:val="none"/>
        </w:rPr>
      </w:pPr>
      <w:r>
        <w:rPr>
          <w:rFonts w:hint="eastAsia"/>
          <w:color w:val="auto"/>
          <w:sz w:val="21"/>
          <w:szCs w:val="21"/>
          <w:highlight w:val="none"/>
        </w:rPr>
        <w:t xml:space="preserve">委托期限：自本授权委托书签署之日起至投标有效期届满之日止。</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法定代表人：（签字或盖章）_______________________</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授权单位名称（盖章）：_________________________________</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地址：_____________________________________</w:t>
      </w:r>
      <w:r/>
    </w:p>
    <w:p>
      <w:pPr>
        <w:pStyle w:val="1213"/>
        <w:ind w:firstLine="420"/>
        <w:pageBreakBefore w:val="0"/>
        <w:spacing w:line="360" w:lineRule="auto"/>
        <w:rPr>
          <w:color w:val="auto"/>
          <w:highlight w:val="none"/>
        </w:rPr>
      </w:pPr>
      <w:r>
        <w:rPr>
          <w:rFonts w:hint="eastAsia" w:ascii="宋体" w:hAnsi="宋体"/>
          <w:color w:val="auto"/>
          <w:sz w:val="21"/>
          <w:szCs w:val="21"/>
          <w:highlight w:val="none"/>
        </w:rPr>
        <w:t xml:space="preserve">日期：</w:t>
      </w:r>
      <w:bookmarkStart w:id="110" w:name="_格式3__银行出具的资信证明"/>
      <w:r/>
      <w:bookmarkEnd w:id="110"/>
      <w:r/>
      <w:bookmarkStart w:id="111" w:name="_Hlt26955070"/>
      <w:r/>
      <w:bookmarkEnd w:id="111"/>
      <w:r/>
      <w:bookmarkStart w:id="112" w:name="_Hlt26671380"/>
      <w:r/>
      <w:bookmarkEnd w:id="112"/>
      <w:r>
        <w:rPr>
          <w:rFonts w:hint="eastAsia" w:ascii="宋体" w:hAnsi="宋体"/>
          <w:color w:val="auto"/>
          <w:sz w:val="21"/>
          <w:szCs w:val="21"/>
          <w:highlight w:val="none"/>
        </w:rPr>
        <w:t xml:space="preserve">     年  月  日</w:t>
      </w:r>
      <w:r/>
    </w:p>
    <w:p>
      <w:pPr>
        <w:pageBreakBefore w:val="0"/>
        <w:spacing w:line="360" w:lineRule="auto"/>
        <w:rPr>
          <w:color w:val="auto"/>
          <w:szCs w:val="21"/>
          <w:highlight w:val="none"/>
        </w:rPr>
      </w:pPr>
      <w:r>
        <w:rPr>
          <w:color w:val="auto"/>
          <w:szCs w:val="21"/>
          <w:highlight w:val="none"/>
        </w:rPr>
      </w:r>
      <w:r/>
    </w:p>
    <w:p>
      <w:pPr>
        <w:pageBreakBefore w:val="0"/>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118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187"/>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pStyle w:val="1193"/>
        <w:pageBreakBefore w:val="0"/>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注：</w:t>
      </w:r>
      <w:r/>
    </w:p>
    <w:p>
      <w:pPr>
        <w:pStyle w:val="1193"/>
        <w:ind w:firstLine="420"/>
        <w:pageBreakBefore w:val="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1.若供应商为分公司、分支机构等依法无须设置法定代表人职务的单位（仅当</w:t>
      </w:r>
      <w:r>
        <w:rPr>
          <w:rFonts w:hint="eastAsia" w:ascii="Times New Roman" w:hAnsi="Times New Roman"/>
          <w:b/>
          <w:bCs/>
          <w:color w:val="auto"/>
          <w:szCs w:val="21"/>
          <w:highlight w:val="none"/>
          <w:lang w:eastAsia="zh-CN"/>
        </w:rPr>
        <w:t xml:space="preserve">采购文件</w:t>
      </w:r>
      <w:r>
        <w:rPr>
          <w:rFonts w:hint="eastAsia" w:ascii="Times New Roman" w:hAnsi="Times New Roman"/>
          <w:b/>
          <w:bCs/>
          <w:color w:val="auto"/>
          <w:szCs w:val="21"/>
          <w:highlight w:val="none"/>
        </w:rPr>
        <w:t xml:space="preserve">注明允许上述单位投标时），法定代表人签字处可由单位负责人签署。</w:t>
      </w:r>
      <w:r/>
    </w:p>
    <w:p>
      <w:pPr>
        <w:pStyle w:val="1193"/>
        <w:ind w:firstLine="420"/>
        <w:pageBreakBefore w:val="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r/>
    </w:p>
    <w:p>
      <w:pPr>
        <w:pStyle w:val="1185"/>
        <w:pageBreakBefore w:val="0"/>
        <w:spacing w:line="360" w:lineRule="auto"/>
        <w:rPr>
          <w:color w:val="auto"/>
          <w:highlight w:val="none"/>
        </w:rPr>
      </w:pPr>
      <w:r>
        <w:rPr>
          <w:color w:val="auto"/>
          <w:highlight w:val="none"/>
        </w:rPr>
      </w:r>
      <w:r/>
    </w:p>
    <w:p>
      <w:pPr>
        <w:pStyle w:val="1181"/>
        <w:jc w:val="both"/>
        <w:pageBreakBefore w:val="0"/>
        <w:spacing w:line="360" w:lineRule="auto"/>
        <w:rPr>
          <w:rFonts w:hint="eastAsia" w:ascii="宋体" w:hAnsi="宋体" w:eastAsia="宋体"/>
          <w:color w:val="auto"/>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1181"/>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3.供应商资格声明书 </w:t>
      </w:r>
      <w:r/>
    </w:p>
    <w:p>
      <w:pPr>
        <w:pageBreakBefore w:val="0"/>
        <w:spacing w:line="360" w:lineRule="auto"/>
        <w:tabs>
          <w:tab w:val="left" w:pos="5580" w:leader="none"/>
        </w:tabs>
        <w:rPr>
          <w:color w:val="auto"/>
          <w:szCs w:val="21"/>
          <w:highlight w:val="none"/>
        </w:rPr>
      </w:pPr>
      <w:r>
        <w:rPr>
          <w:rFonts w:hint="eastAsia"/>
          <w:color w:val="auto"/>
          <w:szCs w:val="21"/>
          <w:highlight w:val="none"/>
        </w:rPr>
        <w:t xml:space="preserve">致：</w:t>
      </w:r>
      <w:r>
        <w:rPr>
          <w:rFonts w:hint="eastAsia"/>
          <w:color w:val="auto"/>
          <w:szCs w:val="21"/>
          <w:highlight w:val="none"/>
          <w:u w:val="single"/>
        </w:rPr>
        <w:t xml:space="preserve">采购人</w:t>
      </w:r>
      <w:r/>
    </w:p>
    <w:p>
      <w:pPr>
        <w:ind w:firstLine="420"/>
        <w:pageBreakBefore w:val="0"/>
        <w:spacing w:line="360" w:lineRule="auto"/>
        <w:rPr>
          <w:color w:val="auto"/>
          <w:szCs w:val="21"/>
          <w:highlight w:val="none"/>
        </w:rPr>
      </w:pPr>
      <w:r>
        <w:rPr>
          <w:rFonts w:hint="eastAsia"/>
          <w:color w:val="auto"/>
          <w:szCs w:val="21"/>
          <w:highlight w:val="none"/>
        </w:rPr>
        <w:t xml:space="preserve">在参与本次项目响应中，我单位承诺：</w:t>
      </w:r>
      <w:r/>
    </w:p>
    <w:p>
      <w:pPr>
        <w:numPr>
          <w:ilvl w:val="0"/>
          <w:numId w:val="8"/>
        </w:numPr>
        <w:ind w:left="1134"/>
        <w:jc w:val="left"/>
        <w:pageBreakBefore w:val="0"/>
        <w:spacing w:line="360" w:lineRule="auto"/>
        <w:rPr>
          <w:color w:val="auto"/>
          <w:szCs w:val="21"/>
          <w:highlight w:val="none"/>
        </w:rPr>
      </w:pPr>
      <w:r>
        <w:rPr>
          <w:rFonts w:hint="eastAsia"/>
          <w:color w:val="auto"/>
          <w:szCs w:val="21"/>
          <w:highlight w:val="none"/>
        </w:rPr>
        <w:t xml:space="preserve">具有良好的商业信誉和健全的财务会计制度；</w:t>
      </w:r>
      <w:r/>
    </w:p>
    <w:p>
      <w:pPr>
        <w:numPr>
          <w:ilvl w:val="0"/>
          <w:numId w:val="8"/>
        </w:numPr>
        <w:ind w:left="1134"/>
        <w:jc w:val="left"/>
        <w:pageBreakBefore w:val="0"/>
        <w:spacing w:line="360" w:lineRule="auto"/>
        <w:rPr>
          <w:color w:val="auto"/>
          <w:szCs w:val="21"/>
          <w:highlight w:val="none"/>
        </w:rPr>
      </w:pPr>
      <w:r>
        <w:rPr>
          <w:rFonts w:hint="eastAsia"/>
          <w:color w:val="auto"/>
          <w:szCs w:val="21"/>
          <w:highlight w:val="none"/>
        </w:rPr>
        <w:t xml:space="preserve">具有履行合同所必需的设备和专业技术能力；</w:t>
      </w:r>
      <w:r/>
    </w:p>
    <w:p>
      <w:pPr>
        <w:numPr>
          <w:ilvl w:val="0"/>
          <w:numId w:val="8"/>
        </w:numPr>
        <w:ind w:left="1134"/>
        <w:jc w:val="left"/>
        <w:pageBreakBefore w:val="0"/>
        <w:spacing w:line="360" w:lineRule="auto"/>
        <w:rPr>
          <w:color w:val="auto"/>
          <w:szCs w:val="21"/>
          <w:highlight w:val="none"/>
        </w:rPr>
      </w:pPr>
      <w:r>
        <w:rPr>
          <w:rFonts w:hint="eastAsia"/>
          <w:color w:val="auto"/>
          <w:szCs w:val="21"/>
          <w:highlight w:val="none"/>
        </w:rPr>
        <w:t xml:space="preserve">具有依法缴纳税收和社会保障资金的良好记录；</w:t>
      </w:r>
      <w:r/>
    </w:p>
    <w:p>
      <w:pPr>
        <w:numPr>
          <w:ilvl w:val="0"/>
          <w:numId w:val="8"/>
        </w:numPr>
        <w:ind w:left="1134"/>
        <w:jc w:val="left"/>
        <w:pageBreakBefore w:val="0"/>
        <w:spacing w:line="360" w:lineRule="auto"/>
        <w:rPr>
          <w:color w:val="auto"/>
          <w:szCs w:val="21"/>
          <w:highlight w:val="none"/>
        </w:rPr>
      </w:pPr>
      <w:r>
        <w:rPr>
          <w:rFonts w:hint="eastAsia"/>
          <w:color w:val="auto"/>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8"/>
        </w:numPr>
        <w:ind w:left="1134"/>
        <w:jc w:val="left"/>
        <w:pageBreakBefore w:val="0"/>
        <w:spacing w:line="360" w:lineRule="auto"/>
        <w:rPr>
          <w:color w:val="auto"/>
          <w:szCs w:val="21"/>
          <w:highlight w:val="none"/>
        </w:rPr>
      </w:pPr>
      <w:r>
        <w:rPr>
          <w:rFonts w:hint="eastAsia"/>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8"/>
        </w:numPr>
        <w:ind w:left="1134"/>
        <w:jc w:val="left"/>
        <w:pageBreakBefore w:val="0"/>
        <w:spacing w:line="360" w:lineRule="auto"/>
        <w:rPr>
          <w:color w:val="auto"/>
          <w:szCs w:val="21"/>
          <w:highlight w:val="none"/>
        </w:rPr>
      </w:pPr>
      <w:r>
        <w:rPr>
          <w:rFonts w:hint="eastAsia"/>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11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bl>
    <w:p>
      <w:pPr>
        <w:pageBreakBefore w:val="0"/>
        <w:spacing w:line="360" w:lineRule="auto"/>
        <w:rPr>
          <w:color w:val="auto"/>
          <w:szCs w:val="21"/>
          <w:highlight w:val="none"/>
        </w:rPr>
      </w:pPr>
      <w:r>
        <w:rPr>
          <w:color w:val="auto"/>
          <w:szCs w:val="21"/>
          <w:highlight w:val="none"/>
        </w:rPr>
      </w:r>
      <w:r/>
    </w:p>
    <w:p>
      <w:pPr>
        <w:ind w:firstLine="420"/>
        <w:pageBreakBefore w:val="0"/>
        <w:spacing w:line="360" w:lineRule="auto"/>
        <w:rPr>
          <w:color w:val="auto"/>
          <w:szCs w:val="21"/>
          <w:highlight w:val="none"/>
        </w:rPr>
      </w:pPr>
      <w:r>
        <w:rPr>
          <w:rFonts w:hint="eastAsia"/>
          <w:color w:val="auto"/>
          <w:szCs w:val="21"/>
          <w:highlight w:val="none"/>
        </w:rPr>
        <w:t xml:space="preserve">上述声明真实有效，否则我方负全部责任。</w:t>
      </w:r>
      <w:r/>
    </w:p>
    <w:p>
      <w:pPr>
        <w:pageBreakBefore w:val="0"/>
        <w:spacing w:line="360" w:lineRule="auto"/>
        <w:rPr>
          <w:color w:val="auto"/>
          <w:szCs w:val="21"/>
          <w:highlight w:val="none"/>
        </w:rPr>
      </w:pPr>
      <w:r>
        <w:rPr>
          <w:color w:val="auto"/>
          <w:szCs w:val="21"/>
          <w:highlight w:val="none"/>
        </w:rPr>
      </w:r>
      <w:r/>
    </w:p>
    <w:p>
      <w:pPr>
        <w:jc w:val="right"/>
        <w:pageBreakBefore w:val="0"/>
        <w:spacing w:before="25" w:after="25" w:line="360" w:lineRule="auto"/>
        <w:rPr>
          <w:color w:val="auto"/>
          <w:szCs w:val="21"/>
          <w:highlight w:val="none"/>
        </w:rPr>
      </w:pPr>
      <w:r>
        <w:rPr>
          <w:rFonts w:hint="eastAsia"/>
          <w:color w:val="auto"/>
          <w:szCs w:val="21"/>
          <w:highlight w:val="none"/>
        </w:rPr>
        <w:t xml:space="preserve">供应商名称（加盖公章）：</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pageBreakBefore w:val="0"/>
        <w:spacing w:before="25" w:after="25"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jc w:val="center"/>
        <w:pageBreakBefore w:val="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ageBreakBefore w:val="0"/>
        <w:spacing w:line="360" w:lineRule="auto"/>
        <w:rPr>
          <w:color w:val="auto"/>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color w:val="auto"/>
          <w:highlight w:val="none"/>
        </w:rPr>
      </w:r>
      <w:r/>
    </w:p>
    <w:p>
      <w:pPr>
        <w:jc w:val="center"/>
        <w:pageBreakBefore w:val="0"/>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4.诚信承诺书</w:t>
      </w:r>
      <w:r/>
    </w:p>
    <w:p>
      <w:pPr>
        <w:pageBreakBefore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u w:val="single"/>
        </w:rPr>
        <w:t xml:space="preserve">           （采购人名称）</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我单位在参加贵单位组织的</w:t>
      </w:r>
      <w:r>
        <w:rPr>
          <w:rFonts w:hint="eastAsia" w:ascii="宋体" w:hAnsi="宋体" w:cs="宋体"/>
          <w:color w:val="auto"/>
          <w:szCs w:val="21"/>
          <w:highlight w:val="none"/>
          <w:u w:val="single"/>
        </w:rPr>
        <w:t xml:space="preserve">                         项目</w:t>
      </w:r>
      <w:r>
        <w:rPr>
          <w:rFonts w:hint="eastAsia" w:ascii="宋体" w:hAnsi="宋体" w:cs="宋体"/>
          <w:color w:val="auto"/>
          <w:szCs w:val="21"/>
          <w:highlight w:val="none"/>
        </w:rPr>
        <w:t xml:space="preserve">的磋商活动中，郑重承诺如下：</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1.我单位参与本项目投标，提交的磋商响应文件包括资格审查材料均真实可信。证件及有关附件是真实的，绝无提供虚假材料行为。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2.我单位参与本项目投标绝无借资质、挂靠行为。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3.本项目授权代表为本单位正式员工。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4.我单位遵守国家廉政相关规定，无失信、行贿等不良行为。</w:t>
      </w:r>
      <w:r/>
    </w:p>
    <w:p>
      <w:pPr>
        <w:ind w:firstLine="480"/>
        <w:pageBreakBefore w:val="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GB"/>
        </w:rPr>
        <w:t xml:space="preserve">我单位</w:t>
      </w:r>
      <w:r>
        <w:rPr>
          <w:rFonts w:hint="eastAsia" w:ascii="宋体" w:hAnsi="宋体" w:cs="宋体"/>
          <w:color w:val="auto"/>
          <w:szCs w:val="21"/>
          <w:highlight w:val="none"/>
        </w:rPr>
        <w:t xml:space="preserve">参与本项目</w:t>
      </w:r>
      <w:r>
        <w:rPr>
          <w:rFonts w:hint="eastAsia" w:ascii="宋体" w:hAnsi="宋体" w:cs="宋体"/>
          <w:color w:val="auto"/>
          <w:szCs w:val="21"/>
          <w:highlight w:val="none"/>
          <w:lang w:val="en-GB"/>
        </w:rPr>
        <w:t xml:space="preserve">投标</w:t>
      </w:r>
      <w:r>
        <w:rPr>
          <w:rFonts w:hint="eastAsia" w:ascii="宋体" w:hAnsi="宋体" w:cs="宋体"/>
          <w:color w:val="auto"/>
          <w:szCs w:val="21"/>
          <w:highlight w:val="none"/>
        </w:rPr>
        <w:t xml:space="preserve">绝无</w:t>
      </w:r>
      <w:r>
        <w:rPr>
          <w:rFonts w:hint="eastAsia" w:ascii="宋体" w:hAnsi="宋体" w:cs="宋体"/>
          <w:color w:val="auto"/>
          <w:szCs w:val="21"/>
          <w:highlight w:val="none"/>
          <w:lang w:val="en-GB"/>
        </w:rPr>
        <w:t xml:space="preserve">串标、围标等行为。</w:t>
      </w:r>
      <w:r/>
    </w:p>
    <w:p>
      <w:pPr>
        <w:ind w:firstLine="480"/>
        <w:pageBreakBefore w:val="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GB"/>
        </w:rPr>
        <w:t xml:space="preserve">我单位在参加政府采购活动前三年内，在经营活动中没有重大违法记录。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7.如中标，我单位</w:t>
      </w:r>
      <w:r>
        <w:rPr>
          <w:rFonts w:hint="eastAsia" w:ascii="宋体" w:hAnsi="宋体" w:cs="宋体"/>
          <w:color w:val="auto"/>
          <w:szCs w:val="21"/>
          <w:highlight w:val="none"/>
          <w:lang w:val="en-GB"/>
        </w:rPr>
        <w:t xml:space="preserve">在</w:t>
      </w:r>
      <w:r>
        <w:rPr>
          <w:rFonts w:hint="eastAsia" w:ascii="宋体" w:hAnsi="宋体" w:cs="宋体"/>
          <w:color w:val="auto"/>
          <w:szCs w:val="21"/>
          <w:highlight w:val="none"/>
        </w:rPr>
        <w:t xml:space="preserve">成交结果</w:t>
      </w:r>
      <w:r>
        <w:rPr>
          <w:rFonts w:hint="eastAsia" w:ascii="宋体" w:hAnsi="宋体" w:cs="宋体"/>
          <w:color w:val="auto"/>
          <w:szCs w:val="21"/>
          <w:highlight w:val="none"/>
          <w:lang w:val="en-GB"/>
        </w:rPr>
        <w:t xml:space="preserve">公示结束后</w:t>
      </w:r>
      <w:r>
        <w:rPr>
          <w:rFonts w:hint="eastAsia" w:ascii="宋体" w:hAnsi="宋体" w:cs="宋体"/>
          <w:color w:val="auto"/>
          <w:szCs w:val="21"/>
          <w:highlight w:val="none"/>
        </w:rPr>
        <w:t xml:space="preserve">3天内领取中标通知书。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8.中标后，我单位将按照</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文件规定并在成交通知书规定的时限内与采购单位签订合同。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9.如中标，我单位将按照磋商文件规定以及响应文件中承诺的相关事项向采购人提供完整相关证明材料或配合采购人做好相关工作。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供应商（盖公章）：</w:t>
      </w:r>
      <w:r>
        <w:rPr>
          <w:rFonts w:hint="eastAsia" w:ascii="宋体" w:hAnsi="宋体" w:cs="宋体"/>
          <w:bCs/>
          <w:color w:val="auto"/>
          <w:szCs w:val="21"/>
          <w:highlight w:val="none"/>
          <w:u w:val="single"/>
        </w:rPr>
        <w:t xml:space="preserve">                              </w:t>
      </w:r>
      <w:r/>
    </w:p>
    <w:p>
      <w:pPr>
        <w:ind w:firstLine="48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法定代表人（签字或盖章）：</w:t>
      </w:r>
      <w:r>
        <w:rPr>
          <w:rFonts w:hint="eastAsia" w:ascii="宋体" w:hAnsi="宋体" w:cs="宋体"/>
          <w:bCs/>
          <w:color w:val="auto"/>
          <w:szCs w:val="21"/>
          <w:highlight w:val="none"/>
          <w:u w:val="single"/>
        </w:rPr>
        <w:t xml:space="preserve">                      </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833" w:right="560" w:firstLine="2777"/>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22"/>
        <w:jc w:val="center"/>
        <w:pageBreakBefore w:val="0"/>
        <w:spacing w:line="360" w:lineRule="auto"/>
        <w:rPr>
          <w:rFonts w:hint="default" w:ascii="宋体" w:hAnsi="宋体" w:eastAsia="宋体" w:cs="宋体"/>
          <w:b/>
          <w:bCs/>
          <w:color w:val="auto"/>
          <w:szCs w:val="21"/>
          <w:highlight w:val="none"/>
          <w:lang w:val="en-US" w:eastAsia="zh-CN"/>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lang w:val="en-US" w:eastAsia="zh-CN"/>
        </w:rPr>
        <w:t xml:space="preserve">5.售后</w:t>
      </w:r>
      <w:r>
        <w:rPr>
          <w:rFonts w:hint="eastAsia" w:ascii="宋体" w:hAnsi="宋体" w:cs="宋体"/>
          <w:b/>
          <w:bCs/>
          <w:color w:val="auto"/>
          <w:szCs w:val="21"/>
          <w:highlight w:val="none"/>
        </w:rPr>
        <w:t xml:space="preserve">承诺</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格式自拟）</w:t>
      </w:r>
      <w:r/>
    </w:p>
    <w:p>
      <w:pPr>
        <w:ind w:firstLine="422"/>
        <w:jc w:val="cente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致：</w:t>
      </w:r>
      <w:r>
        <w:rPr>
          <w:rFonts w:hint="eastAsia" w:ascii="宋体" w:hAnsi="宋体" w:cs="宋体"/>
          <w:color w:val="auto"/>
          <w:szCs w:val="21"/>
          <w:highlight w:val="none"/>
          <w:lang w:eastAsia="zh-CN"/>
        </w:rPr>
        <w:t xml:space="preserve">泰州医药高新技术产业开发区（泰州市高港区）医药产业园管理办公室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投标人名称（单位公章）：</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期：</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pageBreakBefore w:val="0"/>
        <w:spacing w:line="360" w:lineRule="auto"/>
        <w:rPr>
          <w:rFonts w:hint="eastAsia" w:ascii="宋体" w:hAnsi="宋体" w:cs="宋体"/>
          <w:b/>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rPr>
      </w:r>
      <w:r/>
    </w:p>
    <w:p>
      <w:pPr>
        <w:pStyle w:val="1204"/>
        <w:jc w:val="center"/>
        <w:pageBreakBefore w:val="0"/>
        <w:spacing w:before="143" w:after="0"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6.中小企业声明函（货物）</w:t>
      </w:r>
      <w:r/>
    </w:p>
    <w:p>
      <w:pPr>
        <w:pStyle w:val="1214"/>
        <w:ind w:firstLine="480"/>
        <w:pageBreakBefore w:val="0"/>
        <w:spacing w:line="360" w:lineRule="auto"/>
        <w:rPr>
          <w:rFonts w:ascii="宋体" w:hAnsi="宋体" w:eastAsia="宋体"/>
          <w:sz w:val="24"/>
          <w:szCs w:val="24"/>
          <w:highlight w:val="none"/>
        </w:rPr>
      </w:pPr>
      <w:r>
        <w:rPr>
          <w:rFonts w:ascii="宋体" w:hAnsi="宋体" w:eastAsia="宋体"/>
          <w:sz w:val="24"/>
          <w:szCs w:val="24"/>
          <w:highlight w:val="none"/>
        </w:rPr>
      </w:r>
      <w:r/>
    </w:p>
    <w:p>
      <w:pPr>
        <w:pStyle w:val="1214"/>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本公司（联合体）郑重声明，根据《政府采购促进中小企业发展管理办法》（财库﹝2020﹞46 号）的规定，本公司（联合体）参加</w:t>
      </w:r>
      <w:r>
        <w:rPr>
          <w:rFonts w:hint="eastAsia" w:ascii="宋体" w:hAnsi="宋体" w:eastAsia="宋体" w:cs="Times New Roman"/>
          <w:sz w:val="21"/>
          <w:szCs w:val="21"/>
          <w:highlight w:val="none"/>
          <w:u w:val="single"/>
          <w:lang w:val="en-US" w:eastAsia="zh-CN" w:bidi="ar-SA"/>
        </w:rPr>
        <w:t xml:space="preserve">  [单位名称]  </w:t>
      </w:r>
      <w:r>
        <w:rPr>
          <w:rFonts w:hint="eastAsia" w:ascii="宋体" w:hAnsi="宋体" w:eastAsia="宋体" w:cs="Times New Roman"/>
          <w:sz w:val="21"/>
          <w:szCs w:val="21"/>
          <w:highlight w:val="none"/>
          <w:lang w:val="en-US" w:eastAsia="zh-CN" w:bidi="ar-SA"/>
        </w:rPr>
        <w:t xml:space="preserve">的</w:t>
      </w:r>
      <w:r>
        <w:rPr>
          <w:rFonts w:hint="eastAsia" w:ascii="宋体" w:hAnsi="宋体" w:eastAsia="宋体" w:cs="Times New Roman"/>
          <w:sz w:val="21"/>
          <w:szCs w:val="21"/>
          <w:highlight w:val="none"/>
          <w:u w:val="single"/>
          <w:lang w:val="en-US" w:eastAsia="zh-CN" w:bidi="ar-SA"/>
        </w:rPr>
        <w:t xml:space="preserve">  [项目名称]  </w:t>
      </w:r>
      <w:r>
        <w:rPr>
          <w:rFonts w:hint="eastAsia" w:ascii="宋体" w:hAnsi="宋体" w:eastAsia="宋体" w:cs="Times New Roman"/>
          <w:sz w:val="21"/>
          <w:szCs w:val="21"/>
          <w:highlight w:val="none"/>
          <w:lang w:val="en-US" w:eastAsia="zh-CN" w:bidi="ar-SA"/>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p>
    <w:p>
      <w:pPr>
        <w:pStyle w:val="1215"/>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w:t>
      </w:r>
      <w:r>
        <w:rPr>
          <w:rFonts w:hint="eastAsia" w:ascii="宋体" w:hAnsi="宋体" w:cs="Times New Roman"/>
          <w:sz w:val="21"/>
          <w:szCs w:val="21"/>
          <w:highlight w:val="non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 [标的名称]  </w:t>
      </w:r>
      <w:r>
        <w:rPr>
          <w:rFonts w:hint="eastAsia" w:ascii="宋体" w:hAnsi="宋体" w:eastAsia="宋体" w:cs="Times New Roman"/>
          <w:sz w:val="21"/>
          <w:szCs w:val="21"/>
          <w:highlight w:val="none"/>
          <w:lang w:val="en-US" w:eastAsia="zh-CN" w:bidi="ar-SA"/>
        </w:rPr>
        <w:t xml:space="preserve">，属于</w:t>
      </w:r>
      <w:r>
        <w:rPr>
          <w:rFonts w:hint="eastAsia" w:ascii="宋体" w:hAnsi="宋体" w:cs="Times New Roman"/>
          <w:sz w:val="21"/>
          <w:szCs w:val="21"/>
          <w:highlight w:val="none"/>
          <w:u w:val="single"/>
          <w:lang w:val="en-US" w:eastAsia="zh-CN" w:bidi="ar-SA"/>
        </w:rPr>
        <w:t xml:space="preserve">制造业</w:t>
      </w:r>
      <w:r>
        <w:rPr>
          <w:rFonts w:hint="eastAsia" w:ascii="宋体" w:hAnsi="宋体" w:eastAsia="宋体" w:cs="Times New Roman"/>
          <w:sz w:val="21"/>
          <w:szCs w:val="21"/>
          <w:highlight w:val="none"/>
          <w:lang w:val="en-US" w:eastAsia="zh-CN" w:bidi="ar-SA"/>
        </w:rPr>
        <w:t xml:space="preserve">；制造商为</w:t>
      </w:r>
      <w:r>
        <w:rPr>
          <w:rFonts w:hint="eastAsia" w:ascii="宋体" w:hAnsi="宋体" w:eastAsia="宋体" w:cs="Times New Roman"/>
          <w:sz w:val="21"/>
          <w:szCs w:val="21"/>
          <w:highlight w:val="none"/>
          <w:u w:val="single"/>
          <w:lang w:val="en-US" w:eastAsia="zh-CN" w:bidi="ar-SA"/>
        </w:rPr>
        <w:t xml:space="preserve"> [企业名称] </w:t>
      </w:r>
      <w:r>
        <w:rPr>
          <w:rFonts w:hint="eastAsia" w:ascii="宋体" w:hAnsi="宋体" w:eastAsia="宋体" w:cs="Times New Roman"/>
          <w:sz w:val="21"/>
          <w:szCs w:val="21"/>
          <w:highlight w:val="none"/>
          <w:lang w:val="en-US" w:eastAsia="zh-CN" w:bidi="ar-SA"/>
        </w:rPr>
        <w:t xml:space="preserve">，从业人员</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人，营业收入为</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万元，资产总额为 </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万元，属于</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中型企业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小型企业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微型企业 </w:t>
      </w:r>
      <w:r>
        <w:rPr>
          <w:rFonts w:hint="eastAsia" w:ascii="宋体" w:hAnsi="宋体" w:eastAsia="宋体" w:cs="Times New Roman"/>
          <w:sz w:val="21"/>
          <w:szCs w:val="21"/>
          <w:highlight w:val="none"/>
          <w:lang w:val="en-US" w:eastAsia="zh-CN" w:bidi="ar-SA"/>
        </w:rPr>
        <w:t xml:space="preserve"> ；</w:t>
      </w:r>
      <w:r/>
    </w:p>
    <w:p>
      <w:pPr>
        <w:pStyle w:val="1215"/>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w:t>
      </w:r>
      <w:r>
        <w:rPr>
          <w:rFonts w:hint="eastAsia" w:ascii="宋体" w:hAnsi="宋体" w:cs="Times New Roman"/>
          <w:sz w:val="21"/>
          <w:szCs w:val="21"/>
          <w:highlight w:val="non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 [标的名称]  </w:t>
      </w:r>
      <w:r>
        <w:rPr>
          <w:rFonts w:hint="eastAsia" w:ascii="宋体" w:hAnsi="宋体" w:eastAsia="宋体" w:cs="Times New Roman"/>
          <w:sz w:val="21"/>
          <w:szCs w:val="21"/>
          <w:highlight w:val="none"/>
          <w:lang w:val="en-US" w:eastAsia="zh-CN" w:bidi="ar-SA"/>
        </w:rPr>
        <w:t xml:space="preserve">，属于</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；制造商为</w:t>
      </w:r>
      <w:r>
        <w:rPr>
          <w:rFonts w:hint="eastAsia" w:ascii="宋体" w:hAnsi="宋体" w:eastAsia="宋体" w:cs="Times New Roman"/>
          <w:sz w:val="21"/>
          <w:szCs w:val="21"/>
          <w:highlight w:val="none"/>
          <w:u w:val="single"/>
          <w:lang w:val="en-US" w:eastAsia="zh-CN" w:bidi="ar-SA"/>
        </w:rPr>
        <w:t xml:space="preserve"> [企业名称] </w:t>
      </w:r>
      <w:r>
        <w:rPr>
          <w:rFonts w:hint="eastAsia" w:ascii="宋体" w:hAnsi="宋体" w:eastAsia="宋体" w:cs="Times New Roman"/>
          <w:sz w:val="21"/>
          <w:szCs w:val="21"/>
          <w:highlight w:val="none"/>
          <w:lang w:val="en-US" w:eastAsia="zh-CN" w:bidi="ar-SA"/>
        </w:rPr>
        <w:t xml:space="preserve">，从业人员</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人，营业收入为</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万元，资产总额为 </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万元，属于</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中型企业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小型企业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微型企业 </w:t>
      </w:r>
      <w:r>
        <w:rPr>
          <w:rFonts w:hint="eastAsia" w:ascii="宋体" w:hAnsi="宋体" w:eastAsia="宋体" w:cs="Times New Roman"/>
          <w:sz w:val="21"/>
          <w:szCs w:val="21"/>
          <w:highlight w:val="none"/>
          <w:lang w:val="en-US" w:eastAsia="zh-CN" w:bidi="ar-SA"/>
        </w:rPr>
        <w:t xml:space="preserve"> ；</w:t>
      </w:r>
      <w:r/>
    </w:p>
    <w:p>
      <w:pPr>
        <w:pStyle w:val="1215"/>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sz w:val="24"/>
          <w:szCs w:val="24"/>
          <w:highlight w:val="none"/>
        </w:rPr>
      </w:pPr>
      <w:r>
        <w:rPr>
          <w:rFonts w:hint="eastAsia" w:ascii="宋体" w:hAnsi="宋体"/>
          <w:sz w:val="24"/>
          <w:szCs w:val="24"/>
          <w:highlight w:val="none"/>
        </w:rPr>
      </w:r>
      <w:r/>
    </w:p>
    <w:p>
      <w:pPr>
        <w:pStyle w:val="1214"/>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w:t>
      </w:r>
      <w:r/>
    </w:p>
    <w:p>
      <w:pPr>
        <w:pStyle w:val="1214"/>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以上企业，不属于大企业的分支机构，不存在控股股东为大企业的情形，也不存在与大企业的负责人为同一人的情形。</w:t>
      </w:r>
      <w:r/>
    </w:p>
    <w:p>
      <w:pPr>
        <w:pStyle w:val="1214"/>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如组成联合体或者接受分包合同的中小企业与联合体内的其他企业，分包企业之间不存在直接控制、管理关系；</w:t>
      </w:r>
      <w:r/>
    </w:p>
    <w:p>
      <w:pPr>
        <w:pStyle w:val="1214"/>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本企业对上述声明内容的真实性负责。如有虚假，将依法承担相应责任。</w:t>
      </w:r>
      <w:r/>
    </w:p>
    <w:p>
      <w:pPr>
        <w:pStyle w:val="1214"/>
        <w:ind w:firstLine="480"/>
        <w:pageBreakBefore w:val="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ageBreakBefore w:val="0"/>
        <w:spacing w:line="360" w:lineRule="auto"/>
        <w:rPr>
          <w:rFonts w:ascii="宋体" w:hAnsi="宋体"/>
          <w:b/>
          <w:bCs/>
          <w:sz w:val="22"/>
          <w:szCs w:val="22"/>
          <w:highlight w:val="none"/>
        </w:rPr>
      </w:pPr>
      <w:r>
        <w:rPr>
          <w:rFonts w:hint="eastAsia" w:ascii="宋体" w:hAnsi="宋体"/>
          <w:b/>
          <w:bCs/>
          <w:sz w:val="22"/>
          <w:szCs w:val="22"/>
          <w:highlight w:val="none"/>
        </w:rPr>
        <w:t xml:space="preserve">备注：</w:t>
      </w:r>
      <w:r/>
    </w:p>
    <w:p>
      <w:pPr>
        <w:pStyle w:val="1214"/>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（1）从业人员、营业收入、资产总额填报上一年度数据，无上一年度数据的新成立企业可不填报。</w:t>
      </w:r>
      <w:r/>
    </w:p>
    <w:p>
      <w:pPr>
        <w:pStyle w:val="1214"/>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（2）上述“相关企业”含联合体中的中小企业、签订分包意向协议的中小企业；</w:t>
      </w:r>
      <w:r/>
    </w:p>
    <w:p>
      <w:pPr>
        <w:pStyle w:val="1214"/>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（3）供应商如未按要求提供此声明函，报价将不做相应扣除；中标供应商如享受本项目小微企业扶持政策的，其《中小企业声明函》将随本项目的中标结果同时公告，接受社会监督。 </w:t>
      </w:r>
      <w:r/>
    </w:p>
    <w:p>
      <w:pPr>
        <w:pStyle w:val="1214"/>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pStyle w:val="1214"/>
        <w:ind w:firstLine="480"/>
        <w:jc w:val="center"/>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供应商名称（盖章）：</w:t>
      </w:r>
      <w:r/>
    </w:p>
    <w:p>
      <w:pPr>
        <w:pStyle w:val="1214"/>
        <w:ind w:firstLine="480"/>
        <w:jc w:val="center"/>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日  期：</w:t>
      </w:r>
      <w:r/>
    </w:p>
    <w:p>
      <w:pPr>
        <w:ind w:firstLine="49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561"/>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.残疾人福利性单位声明函</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pageBreakBefore w:val="0"/>
        <w:spacing w:line="360" w:lineRule="auto"/>
        <w:rPr>
          <w:rFonts w:hint="eastAsia" w:ascii="宋体" w:hAnsi="宋体" w:cs="宋体"/>
          <w:color w:val="auto"/>
          <w:spacing w:val="6"/>
          <w:szCs w:val="21"/>
          <w:highlight w:val="none"/>
        </w:rPr>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firstLine="480"/>
        <w:jc w:val="center"/>
        <w:pageBreakBefore w:val="0"/>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.监狱企业证明函</w:t>
      </w:r>
      <w:r/>
    </w:p>
    <w:p>
      <w:pPr>
        <w:ind w:firstLine="646"/>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根据《财政部 司法部关于政府采购支持监狱企业发展有关问题的通知》（财库〔2014〕68号）的规定，          （填写供应商法定全称）为监狱企业。</w:t>
      </w:r>
      <w:r/>
    </w:p>
    <w:p>
      <w:pPr>
        <w:ind w:firstLine="646"/>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特此声明。</w:t>
      </w:r>
      <w:r/>
    </w:p>
    <w:p>
      <w:pPr>
        <w:ind w:firstLine="1440"/>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1440"/>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省级以上监狱管理局、戒毒管理局（含新疆生产建设兵团）（盖章）：</w:t>
      </w:r>
      <w:r/>
    </w:p>
    <w:p>
      <w:pPr>
        <w:jc w:val="left"/>
        <w:pageBreakBefore w:val="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ar"/>
        </w:rPr>
        <w:t xml:space="preserve">                                    日  期：</w:t>
      </w:r>
      <w:r/>
    </w:p>
    <w:p>
      <w:pPr>
        <w:pageBreakBefore w:val="0"/>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p>
      <w:pPr>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节能产品认证证书</w:t>
      </w:r>
      <w:r/>
    </w:p>
    <w:p>
      <w:pPr>
        <w:pStyle w:val="1189"/>
        <w:pageBreakBefore w:val="0"/>
        <w:spacing w:line="360" w:lineRule="auto"/>
        <w:rPr>
          <w:szCs w:val="21"/>
          <w:highlight w:val="none"/>
        </w:rPr>
      </w:pPr>
      <w:r>
        <w:rPr>
          <w:szCs w:val="21"/>
          <w:highlight w:val="none"/>
        </w:rPr>
      </w:r>
      <w:r/>
    </w:p>
    <w:p>
      <w:pPr>
        <w:ind w:firstLine="1440"/>
        <w:jc w:val="left"/>
        <w:pageBreakBefore w:val="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如有，</w:t>
      </w:r>
      <w:r>
        <w:rPr>
          <w:rFonts w:hint="eastAsia" w:ascii="宋体" w:hAnsi="宋体" w:eastAsia="宋体" w:cs="宋体"/>
          <w:color w:val="auto"/>
          <w:szCs w:val="21"/>
          <w:highlight w:val="none"/>
          <w:lang w:bidi="ar"/>
        </w:rPr>
        <w:t xml:space="preserve">提供国家确定的认证机构出具的、处于有效期之内的产品认证证书）</w:t>
      </w:r>
      <w:r/>
    </w:p>
    <w:p>
      <w:pPr>
        <w:jc w:val="center"/>
        <w:pageBreakBefore w:val="0"/>
        <w:spacing w:line="360" w:lineRule="auto"/>
        <w:rPr>
          <w:rFonts w:ascii="宋体" w:hAnsi="宋体" w:cs="宋体"/>
          <w:b/>
          <w:bCs/>
          <w:szCs w:val="21"/>
          <w:highlight w:val="none"/>
        </w:rPr>
      </w:pPr>
      <w:r>
        <w:rPr>
          <w:rFonts w:ascii="宋体" w:hAnsi="宋体" w:cs="宋体"/>
          <w:b/>
          <w:bCs/>
          <w:szCs w:val="21"/>
          <w:highlight w:val="none"/>
        </w:rPr>
      </w:r>
      <w:r/>
    </w:p>
    <w:p>
      <w:pPr>
        <w:pStyle w:val="1185"/>
        <w:pageBreakBefore w:val="0"/>
        <w:spacing w:line="360" w:lineRule="auto"/>
        <w:rPr>
          <w:szCs w:val="21"/>
          <w:highlight w:val="none"/>
        </w:rPr>
      </w:pPr>
      <w:r>
        <w:rPr>
          <w:szCs w:val="21"/>
          <w:highlight w:val="none"/>
        </w:rPr>
      </w:r>
      <w:r/>
    </w:p>
    <w:p>
      <w:pPr>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10.</w:t>
      </w:r>
      <w:r>
        <w:rPr>
          <w:rFonts w:hint="eastAsia" w:ascii="宋体" w:hAnsi="宋体" w:cs="宋体"/>
          <w:b/>
          <w:bCs/>
          <w:szCs w:val="21"/>
          <w:highlight w:val="none"/>
        </w:rPr>
        <w:t xml:space="preserve">环境标志产品认证证书</w:t>
      </w:r>
      <w:r/>
    </w:p>
    <w:p>
      <w:pPr>
        <w:ind w:firstLine="1440"/>
        <w:jc w:val="left"/>
        <w:pageBreakBefore w:val="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如有，</w:t>
      </w:r>
      <w:r>
        <w:rPr>
          <w:rFonts w:hint="eastAsia" w:ascii="宋体" w:hAnsi="宋体" w:eastAsia="宋体" w:cs="宋体"/>
          <w:color w:val="auto"/>
          <w:szCs w:val="21"/>
          <w:highlight w:val="none"/>
          <w:lang w:bidi="ar"/>
        </w:rPr>
        <w:t xml:space="preserve">提供国家确定的认证机构出具的、处于有效期之内的产品认证证书）</w:t>
      </w:r>
      <w:r/>
    </w:p>
    <w:p>
      <w:pPr>
        <w:ind w:firstLine="1440"/>
        <w:jc w:val="left"/>
        <w:pageBreakBefore w:val="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pStyle w:val="1187"/>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pStyle w:val="1194"/>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b/>
          <w:bCs/>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1"/>
          <w:szCs w:val="21"/>
          <w:highlight w:val="none"/>
          <w:lang w:val="en-US" w:eastAsia="zh-CN" w:bidi="ar"/>
        </w:rPr>
        <w:t xml:space="preserve">11.</w:t>
      </w:r>
      <w:r>
        <w:rPr>
          <w:rStyle w:val="1197"/>
          <w:rFonts w:hint="eastAsia" w:ascii="宋体" w:hAnsi="宋体" w:eastAsia="宋体" w:cs="宋体"/>
          <w:b/>
          <w:bCs/>
          <w:i w:val="0"/>
          <w:iCs w:val="0"/>
          <w:caps w:val="0"/>
          <w:color w:val="333333"/>
          <w:spacing w:val="0"/>
          <w:sz w:val="21"/>
          <w:szCs w:val="21"/>
          <w:shd w:val="clear" w:color="auto" w:fill="ffffff"/>
        </w:rPr>
        <w:t xml:space="preserve">关于符合本国产品标准的声明函</w:t>
      </w:r>
      <w:r/>
    </w:p>
    <w:p>
      <w:pPr>
        <w:pStyle w:val="119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1194"/>
        <w:ind w:left="0" w:right="0" w:firstLine="420"/>
        <w:keepLines w:val="0"/>
        <w:keepNext w:val="0"/>
        <w:spacing w:before="30" w:beforeAutospacing="0" w:after="30" w:afterAutospacing="0"/>
        <w:shd w:val="clear" w:color="auto" w:fill="ffffff"/>
        <w:widowControl/>
        <w:rPr>
          <w:rFonts w:hint="eastAsia" w:asciiTheme="majorEastAsia" w:hAnsiTheme="majorEastAsia" w:eastAsiaTheme="majorEastAsia" w:cstheme="maj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94"/>
        <w:ind w:left="0" w:right="0" w:firstLine="420"/>
        <w:keepLines w:val="0"/>
        <w:keepNext w:val="0"/>
        <w:spacing w:before="30" w:beforeAutospacing="0" w:after="30" w:afterAutospacing="0"/>
        <w:shd w:val="clear" w:color="auto" w:fill="ffffff"/>
        <w:widowControl/>
        <w:rPr>
          <w:rFonts w:hint="eastAsia" w:asciiTheme="majorEastAsia" w:hAnsiTheme="majorEastAsia" w:eastAsiaTheme="majorEastAsia" w:cstheme="maj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1.</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（产品名称1）</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vertAlign w:val="superscript"/>
        </w:rPr>
        <w:t xml:space="preserve">1</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，生产厂为</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（厂名）</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vertAlign w:val="superscript"/>
        </w:rPr>
        <w:t xml:space="preserve">2</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，厂址为</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（生产厂址）</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（产品名称1）</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的中国境内生产的组件成本占比≥</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（规定比例）</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vertAlign w:val="superscript"/>
        </w:rPr>
        <w:t xml:space="preserve">3</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（产品名称1）</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的</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（关键组件）</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vertAlign w:val="superscript"/>
        </w:rPr>
        <w:t xml:space="preserve">4</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在中国境内生产。</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（产品名称1）</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的</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（关键工序）</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vertAlign w:val="superscript"/>
        </w:rPr>
        <w:t xml:space="preserve">5</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在中国境内完成。</w:t>
      </w:r>
      <w:r/>
    </w:p>
    <w:p>
      <w:pPr>
        <w:pStyle w:val="1194"/>
        <w:ind w:left="0" w:right="0" w:firstLine="420"/>
        <w:keepLines w:val="0"/>
        <w:keepNext w:val="0"/>
        <w:spacing w:before="30" w:beforeAutospacing="0" w:after="30" w:afterAutospacing="0"/>
        <w:shd w:val="clear" w:color="auto" w:fill="ffffff"/>
        <w:widowControl/>
        <w:rPr>
          <w:rFonts w:hint="eastAsia" w:asciiTheme="majorEastAsia" w:hAnsiTheme="majorEastAsia" w:eastAsiaTheme="majorEastAsia" w:cstheme="maj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2.</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（产品名称2）</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，生产厂为</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（厂名）</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，厂址为</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（生产厂址）</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（产品名称2）</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的中国境内生产的组件成本占比≥</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（规定比例）</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（产品名称2）</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的</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（关键组件）</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在中国境内生产。</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（产品名称2）</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的</w:t>
      </w:r>
      <w:r>
        <w:rPr>
          <w:rStyle w:val="1199"/>
          <w:rFonts w:hint="eastAsia" w:asciiTheme="majorEastAsia" w:hAnsiTheme="majorEastAsia" w:eastAsiaTheme="majorEastAsia" w:cstheme="majorEastAsia"/>
          <w:i w:val="0"/>
          <w:iCs w:val="0"/>
          <w:caps w:val="0"/>
          <w:color w:val="333333"/>
          <w:spacing w:val="0"/>
          <w:sz w:val="21"/>
          <w:szCs w:val="21"/>
          <w:u w:val="single"/>
          <w:shd w:val="clear" w:color="auto" w:fill="ffffff"/>
        </w:rPr>
        <w:t xml:space="preserve">（关键工序）</w:t>
      </w: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在中国境内完成。</w:t>
      </w:r>
      <w:r/>
    </w:p>
    <w:p>
      <w:pPr>
        <w:pStyle w:val="1194"/>
        <w:ind w:left="0" w:right="0" w:firstLine="420"/>
        <w:keepLines w:val="0"/>
        <w:keepNext w:val="0"/>
        <w:spacing w:before="30" w:beforeAutospacing="0" w:after="30" w:afterAutospacing="0"/>
        <w:shd w:val="clear" w:color="auto" w:fill="ffffff"/>
        <w:widowControl/>
        <w:rPr>
          <w:rFonts w:hint="eastAsia" w:asciiTheme="majorEastAsia" w:hAnsiTheme="majorEastAsia" w:eastAsiaTheme="majorEastAsia" w:cstheme="maj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w:t>
      </w:r>
      <w:r/>
    </w:p>
    <w:p>
      <w:pPr>
        <w:pStyle w:val="1194"/>
        <w:ind w:left="0" w:right="0" w:firstLine="420"/>
        <w:keepLines w:val="0"/>
        <w:keepNext w:val="0"/>
        <w:spacing w:before="30" w:beforeAutospacing="0" w:after="30" w:afterAutospacing="0"/>
        <w:shd w:val="clear" w:color="auto" w:fill="ffffff"/>
        <w:widowControl/>
        <w:rPr>
          <w:rFonts w:hint="eastAsia" w:asciiTheme="majorEastAsia" w:hAnsiTheme="majorEastAsia" w:eastAsiaTheme="majorEastAsia" w:cstheme="maj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本公司（单位）对上述声明内容的真实性负责。如有虚假，愿承担相应法律责任。</w:t>
      </w:r>
      <w:r/>
    </w:p>
    <w:p>
      <w:pPr>
        <w:pStyle w:val="1194"/>
        <w:ind w:left="0" w:right="0" w:firstLine="420"/>
        <w:jc w:val="right"/>
        <w:keepLines w:val="0"/>
        <w:keepNext w:val="0"/>
        <w:spacing w:before="30" w:beforeAutospacing="0" w:after="30" w:afterAutospacing="0"/>
        <w:shd w:val="clear" w:color="auto" w:fill="ffffff"/>
        <w:widowControl/>
        <w:rPr>
          <w:rFonts w:hint="eastAsia" w:asciiTheme="majorEastAsia" w:hAnsiTheme="majorEastAsia" w:eastAsiaTheme="majorEastAsia" w:cstheme="majorEastAsia"/>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333333"/>
          <w:spacing w:val="0"/>
          <w:sz w:val="21"/>
          <w:szCs w:val="21"/>
          <w:shd w:val="clear" w:color="auto" w:fill="ffffff"/>
        </w:rPr>
      </w:r>
      <w:r/>
    </w:p>
    <w:p>
      <w:pPr>
        <w:pStyle w:val="1194"/>
        <w:ind w:left="0" w:right="0" w:firstLine="420"/>
        <w:jc w:val="right"/>
        <w:keepLines w:val="0"/>
        <w:keepNext w:val="0"/>
        <w:spacing w:before="30" w:beforeAutospacing="0" w:after="30" w:afterAutospacing="0"/>
        <w:shd w:val="clear" w:color="auto" w:fill="ffffff"/>
        <w:widowControl/>
        <w:rPr>
          <w:rFonts w:hint="eastAsia" w:asciiTheme="majorEastAsia" w:hAnsiTheme="majorEastAsia" w:eastAsiaTheme="majorEastAsia" w:cstheme="maj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公司（单位）名称（盖章）：      </w:t>
      </w:r>
      <w:r/>
    </w:p>
    <w:p>
      <w:pPr>
        <w:pStyle w:val="1194"/>
        <w:ind w:left="0" w:right="0" w:firstLine="420"/>
        <w:jc w:val="right"/>
        <w:keepLines w:val="0"/>
        <w:keepNext w:val="0"/>
        <w:spacing w:before="30" w:beforeAutospacing="0" w:after="30" w:afterAutospacing="0"/>
        <w:shd w:val="clear" w:color="auto" w:fill="ffffff"/>
        <w:widowControl/>
        <w:rPr>
          <w:rFonts w:hint="eastAsia" w:asciiTheme="majorEastAsia" w:hAnsiTheme="majorEastAsia" w:eastAsiaTheme="majorEastAsia" w:cstheme="maj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333333"/>
          <w:spacing w:val="0"/>
          <w:sz w:val="21"/>
          <w:szCs w:val="21"/>
          <w:shd w:val="clear" w:color="auto" w:fill="ffffff"/>
        </w:rPr>
        <w:t xml:space="preserve">日期：　　　　　年　　月　日    </w:t>
      </w:r>
      <w:r/>
    </w:p>
    <w:p>
      <w:pPr>
        <w:pStyle w:val="119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119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1194"/>
        <w:ind w:right="0"/>
        <w:jc w:val="both"/>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_____________________________</w:t>
      </w:r>
      <w:r/>
    </w:p>
    <w:p>
      <w:pPr>
        <w:pStyle w:val="119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1.产品如有型号，请在“产品名称”栏一并填写。</w:t>
      </w:r>
      <w:r/>
    </w:p>
    <w:p>
      <w:pPr>
        <w:pStyle w:val="119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2.生产厂名与厂址应与生产厂营业执照载明的相关信息保持一致。</w:t>
      </w:r>
      <w:r/>
    </w:p>
    <w:p>
      <w:pPr>
        <w:pStyle w:val="119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3.该产品的中国境内生产的组件成本占比相关要求实施前，“规定比例”栏可不填，下同。</w:t>
      </w:r>
      <w:r/>
    </w:p>
    <w:p>
      <w:pPr>
        <w:pStyle w:val="119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4.该产品的关键组件要求实施前，“关键组件”栏可不填，下同。</w:t>
      </w:r>
      <w:r/>
    </w:p>
    <w:p>
      <w:pPr>
        <w:pStyle w:val="119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5.该产品的关键工序要求实施前，“关键工序”栏可不填，下同。</w:t>
      </w:r>
      <w:r/>
    </w:p>
    <w:p>
      <w:pPr>
        <w:pStyle w:val="1187"/>
        <w:rPr>
          <w:rFonts w:hint="eastAsia" w:ascii="宋体" w:hAnsi="宋体" w:eastAsia="宋体" w:cs="宋体"/>
          <w:color w:val="auto"/>
          <w:sz w:val="21"/>
          <w:szCs w:val="21"/>
          <w:highlight w:val="none"/>
          <w:lang w:val="en-US" w:eastAsia="zh-CN" w:bidi="ar"/>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s="宋体"/>
          <w:color w:val="auto"/>
          <w:sz w:val="21"/>
          <w:szCs w:val="21"/>
          <w:highlight w:val="none"/>
          <w:lang w:val="en-US" w:eastAsia="zh-CN" w:bidi="ar"/>
        </w:rPr>
      </w:r>
      <w:r/>
    </w:p>
    <w:p>
      <w:pPr>
        <w:pStyle w:val="1181"/>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12.</w:t>
      </w:r>
      <w:r>
        <w:rPr>
          <w:rFonts w:hint="eastAsia" w:ascii="宋体" w:hAnsi="宋体" w:eastAsia="宋体"/>
          <w:color w:val="auto"/>
          <w:sz w:val="21"/>
          <w:szCs w:val="21"/>
          <w:highlight w:val="none"/>
        </w:rPr>
        <w:t xml:space="preserve">磋商响应函</w:t>
      </w:r>
      <w:r/>
    </w:p>
    <w:p>
      <w:pPr>
        <w:pStyle w:val="1201"/>
        <w:ind w:firstLine="420"/>
        <w:pageBreakBefore w:val="0"/>
        <w:spacing w:line="360" w:lineRule="auto"/>
        <w:rPr>
          <w:rFonts w:hint="eastAsia" w:ascii="宋体" w:hAnsi="宋体"/>
          <w:b/>
          <w:bCs/>
          <w:color w:val="auto"/>
          <w:sz w:val="21"/>
          <w:szCs w:val="21"/>
          <w:highlight w:val="none"/>
        </w:rPr>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（采购人名称）</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号磋商文件，正式授权下述签字人______（姓名和职务）代表我方（供应商的名称），全权处理</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磋商采购的有关事宜。</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1.按磋商文件规定的各项要求，向采购人提供所需服务。</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6.一旦我方成交，我方将根据磋商文件的规定，严格履行合同的责任和义务，并保证在磋商文件规定的时</w:t>
      </w:r>
      <w:r>
        <w:rPr>
          <w:rFonts w:hint="eastAsia" w:ascii="宋体" w:hAnsi="宋体"/>
          <w:color w:val="auto"/>
          <w:sz w:val="21"/>
          <w:szCs w:val="21"/>
          <w:highlight w:val="none"/>
          <w:lang w:eastAsia="zh-CN"/>
        </w:rPr>
        <w:t xml:space="preserve">间内</w:t>
      </w:r>
      <w:r>
        <w:rPr>
          <w:rFonts w:hint="eastAsia" w:ascii="宋体" w:hAnsi="宋体"/>
          <w:color w:val="auto"/>
          <w:sz w:val="21"/>
          <w:szCs w:val="21"/>
          <w:highlight w:val="none"/>
        </w:rPr>
        <w:t xml:space="preserve">完成项目，交付采购人验收、使用。</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7.遵守磋商文件中要求的收费项目和标准。</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8.与</w:t>
      </w:r>
      <w:r>
        <w:rPr>
          <w:rFonts w:hint="eastAsia" w:ascii="宋体" w:hAnsi="宋体"/>
          <w:color w:val="auto"/>
          <w:sz w:val="21"/>
          <w:szCs w:val="21"/>
          <w:highlight w:val="none"/>
          <w:lang w:eastAsia="zh-CN"/>
        </w:rPr>
        <w:t xml:space="preserve">本次</w:t>
      </w:r>
      <w:r>
        <w:rPr>
          <w:rFonts w:hint="eastAsia" w:ascii="宋体" w:hAnsi="宋体"/>
          <w:color w:val="auto"/>
          <w:sz w:val="21"/>
          <w:szCs w:val="21"/>
          <w:highlight w:val="none"/>
        </w:rPr>
        <w:t xml:space="preserve">磋商采购有关的正式通讯地址为：</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法定代表人或授权代表姓名（签字）：     联系电话：</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121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pPr>
      <w:r>
        <w:rPr>
          <w:rFonts w:ascii="宋体" w:hAnsi="宋体"/>
          <w:color w:val="auto"/>
          <w:szCs w:val="21"/>
          <w:highlight w:val="none"/>
        </w:rPr>
        <w:br w:type="page" w:clear="all"/>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13</w:t>
      </w:r>
      <w:r>
        <w:rPr>
          <w:rFonts w:hint="eastAsia" w:ascii="宋体" w:hAnsi="宋体" w:cs="宋体"/>
          <w:b/>
          <w:color w:val="auto"/>
          <w:szCs w:val="21"/>
          <w:highlight w:val="none"/>
        </w:rPr>
        <w:t xml:space="preserve">.技术条款响应及偏离表</w:t>
      </w:r>
      <w:r/>
    </w:p>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（由响应人据实提交，表格不够自行添加）</w:t>
      </w:r>
      <w:r/>
    </w:p>
    <w:tbl>
      <w:tblPr>
        <w:tblStyle w:val="118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响应人提交的响应文件应</w:t>
      </w:r>
      <w:r>
        <w:rPr>
          <w:rFonts w:hint="eastAsia" w:ascii="宋体" w:hAnsi="宋体" w:cs="宋体"/>
          <w:color w:val="auto"/>
          <w:szCs w:val="21"/>
          <w:highlight w:val="none"/>
          <w:lang w:val="en-US" w:eastAsia="zh-CN"/>
        </w:rPr>
        <w:t xml:space="preserve">对技术条款</w:t>
      </w:r>
      <w:r>
        <w:rPr>
          <w:rFonts w:hint="eastAsia" w:ascii="宋体" w:hAnsi="宋体" w:cs="宋体"/>
          <w:color w:val="auto"/>
          <w:szCs w:val="21"/>
          <w:highlight w:val="none"/>
        </w:rPr>
        <w:t xml:space="preserve">逐条填列在偏离表中。</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“偏离说明”一栏选择“正偏离”、“负偏离”进行填写。正偏离的确认和负偏离的是否响应磋商文件，经三分之二评委认定。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3.响应人如果虚假响应，将承担被暂停参加采购人组织政府采购活动的风险。</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4.供应商若提供其他增值服务，可以在表中自行据实填写。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contextualSpacing/>
        <w:ind w:firstLine="42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pageBreakBefore w:val="0"/>
        <w:spacing w:line="360" w:lineRule="auto"/>
        <w:rPr>
          <w:rFonts w:hint="eastAsia" w:ascii="宋体" w:hAnsi="宋体" w:cs="宋体"/>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Cs w:val="21"/>
          <w:highlight w:val="none"/>
        </w:rPr>
      </w:r>
      <w:r/>
    </w:p>
    <w:p>
      <w:pPr>
        <w:pStyle w:val="1216"/>
        <w:ind w:left="0" w:firstLine="0"/>
        <w:jc w:val="center"/>
        <w:pageBreakBefore w:val="0"/>
        <w:spacing w:line="360" w:lineRule="auto"/>
        <w:rPr>
          <w:rFonts w:hint="eastAsia" w:ascii="宋体" w:hAnsi="宋体" w:cs="宋体"/>
          <w:color w:val="auto"/>
          <w:sz w:val="21"/>
          <w:szCs w:val="21"/>
          <w:highlight w:val="none"/>
        </w:rPr>
      </w:pPr>
      <w:r/>
      <w:bookmarkStart w:id="113" w:name="_Toc20755"/>
      <w:r/>
      <w:bookmarkStart w:id="114" w:name="_Toc15683"/>
      <w:r>
        <w:rPr>
          <w:rFonts w:hint="eastAsia" w:ascii="宋体" w:hAnsi="宋体" w:cs="宋体"/>
          <w:color w:val="auto"/>
          <w:sz w:val="21"/>
          <w:szCs w:val="21"/>
          <w:highlight w:val="none"/>
          <w:lang w:val="en-US" w:eastAsia="zh-CN"/>
        </w:rPr>
        <w:t xml:space="preserve">14</w:t>
      </w:r>
      <w:r>
        <w:rPr>
          <w:rFonts w:hint="eastAsia" w:ascii="宋体" w:hAnsi="宋体" w:cs="宋体"/>
          <w:color w:val="auto"/>
          <w:sz w:val="21"/>
          <w:szCs w:val="21"/>
          <w:highlight w:val="none"/>
        </w:rPr>
        <w:t xml:space="preserve">.商务条款响应及偏离表</w:t>
      </w:r>
      <w:bookmarkEnd w:id="113"/>
      <w:r/>
      <w:bookmarkEnd w:id="114"/>
      <w:r/>
      <w:r/>
    </w:p>
    <w:tbl>
      <w:tblPr>
        <w:tblStyle w:val="118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color w:val="auto"/>
                <w:szCs w:val="21"/>
                <w:highlight w:val="none"/>
              </w:rPr>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color w:val="auto"/>
                <w:szCs w:val="21"/>
                <w:highlight w:val="none"/>
              </w:rPr>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履约保证金</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630"/>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bl>
    <w:p>
      <w:pPr>
        <w:pStyle w:val="1185"/>
        <w:pageBreakBefore w:val="0"/>
        <w:spacing w:line="360" w:lineRule="auto"/>
        <w:rPr>
          <w:color w:val="auto"/>
          <w:szCs w:val="21"/>
          <w:highlight w:val="none"/>
        </w:rPr>
      </w:pPr>
      <w:r>
        <w:rPr>
          <w:color w:val="auto"/>
          <w:szCs w:val="21"/>
          <w:highlight w:val="none"/>
        </w:rPr>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ageBreakBefore w:val="0"/>
        <w:spacing w:line="360" w:lineRule="auto"/>
        <w:rPr>
          <w:rFonts w:hint="eastAsia" w:ascii="宋体" w:hAnsi="宋体" w:cs="宋体"/>
          <w:b/>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highlight w:val="none"/>
        </w:rPr>
      </w:r>
      <w:bookmarkEnd w:id="106"/>
      <w:r/>
      <w:bookmarkEnd w:id="107"/>
      <w:r/>
      <w:bookmarkEnd w:id="108"/>
      <w:r/>
      <w:bookmarkEnd w:id="109"/>
      <w:r/>
      <w:r/>
    </w:p>
    <w:p>
      <w:pPr>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lang w:val="en-US" w:eastAsia="zh-CN"/>
        </w:rPr>
        <w:t xml:space="preserve">15</w:t>
      </w:r>
      <w:r>
        <w:rPr>
          <w:rFonts w:hint="eastAsia" w:ascii="宋体" w:hAnsi="宋体"/>
          <w:b/>
          <w:color w:val="auto"/>
          <w:szCs w:val="21"/>
          <w:highlight w:val="none"/>
        </w:rPr>
        <w:t xml:space="preserve">.项目组成人员表</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1184"/>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1217"/>
        <w:ind w:firstLine="420"/>
        <w:pageBreakBefore w:val="0"/>
        <w:spacing w:line="360" w:lineRule="auto"/>
        <w:rPr>
          <w:rFonts w:hint="eastAsia" w:ascii="宋体" w:hAnsi="宋体"/>
          <w:color w:val="auto"/>
          <w:highlight w:val="none"/>
        </w:rPr>
      </w:pPr>
      <w:r>
        <w:rPr>
          <w:rFonts w:hint="eastAsia" w:ascii="宋体" w:hAnsi="宋体"/>
          <w:color w:val="auto"/>
          <w:highlight w:val="none"/>
        </w:rPr>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供应商（公章）：</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1217"/>
        <w:ind w:firstLine="420"/>
        <w:pageBreakBefore w:val="0"/>
        <w:spacing w:line="360" w:lineRule="auto"/>
        <w:rPr>
          <w:rFonts w:hint="eastAsia" w:ascii="宋体" w:hAnsi="宋体"/>
          <w:color w:val="auto"/>
          <w:highlight w:val="none"/>
        </w:rPr>
      </w:pPr>
      <w:r>
        <w:rPr>
          <w:rFonts w:hint="eastAsia" w:ascii="宋体" w:hAnsi="宋体"/>
          <w:color w:val="auto"/>
          <w:highlight w:val="none"/>
        </w:rPr>
      </w:r>
      <w:r/>
    </w:p>
    <w:p>
      <w:pPr>
        <w:jc w:val="center"/>
        <w:pageBreakBefore w:val="0"/>
        <w:spacing w:line="360" w:lineRule="auto"/>
        <w:widowControl/>
        <w:rPr>
          <w:rFonts w:hint="eastAsia" w:ascii="宋体" w:hAnsi="宋体" w:cs="宋体"/>
          <w:b/>
          <w:color w:val="auto"/>
          <w:szCs w:val="21"/>
          <w:highlight w:val="none"/>
        </w:rPr>
      </w:pPr>
      <w:r>
        <w:rPr>
          <w:rFonts w:ascii="宋体" w:hAnsi="宋体"/>
          <w:b/>
          <w:color w:val="auto"/>
          <w:szCs w:val="21"/>
          <w:highlight w:val="none"/>
        </w:rPr>
        <w:br w:type="page" w:clear="all"/>
      </w:r>
      <w:r>
        <w:rPr>
          <w:rFonts w:hint="eastAsia" w:ascii="宋体" w:hAnsi="宋体" w:cs="宋体"/>
          <w:b/>
          <w:color w:val="auto"/>
          <w:szCs w:val="21"/>
          <w:highlight w:val="none"/>
          <w:lang w:val="en-US" w:eastAsia="zh-CN"/>
        </w:rPr>
        <w:t xml:space="preserve">16</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供应商一般情况表</w:t>
      </w:r>
      <w:r/>
    </w:p>
    <w:tbl>
      <w:tblPr>
        <w:tblStyle w:val="11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注册建造师</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法定代表人或被授权人：（签字或盖章）</w:t>
      </w:r>
      <w:r/>
    </w:p>
    <w:p>
      <w:pPr>
        <w:ind w:firstLine="132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22"/>
        <w:pageBreakBefore w:val="0"/>
        <w:spacing w:line="360" w:lineRule="auto"/>
        <w:rPr>
          <w:rFonts w:hint="eastAsia" w:ascii="宋体" w:hAnsi="宋体"/>
          <w:b/>
          <w:color w:val="auto"/>
          <w:szCs w:val="21"/>
          <w:highlight w:val="none"/>
          <w:u w:val="single"/>
        </w:rPr>
      </w:pPr>
      <w:r>
        <w:rPr>
          <w:rFonts w:hint="eastAsia" w:ascii="宋体" w:hAnsi="宋体" w:cs="宋体"/>
          <w:b/>
          <w:color w:val="auto"/>
          <w:szCs w:val="21"/>
          <w:highlight w:val="none"/>
        </w:rPr>
        <w:br w:type="page" w:clear="all"/>
      </w:r>
      <w:bookmarkStart w:id="115" w:name="_Toc54372071"/>
      <w:r/>
      <w:bookmarkStart w:id="116" w:name="_Toc56153862"/>
      <w:r/>
      <w:bookmarkStart w:id="117" w:name="_Toc55639393"/>
      <w:r/>
      <w:bookmarkStart w:id="118" w:name="_Toc56139088"/>
      <w:r/>
      <w:bookmarkStart w:id="119" w:name="_Toc439777351"/>
      <w:r/>
      <w:bookmarkStart w:id="120" w:name="_Toc59896715"/>
      <w:r/>
      <w:bookmarkStart w:id="121" w:name="_Toc55707673"/>
      <w:r/>
      <w:bookmarkStart w:id="122" w:name="_Toc55705168"/>
      <w:r/>
      <w:bookmarkStart w:id="123" w:name="_Toc55654540"/>
      <w:r/>
      <w:bookmarkStart w:id="124" w:name="_Toc56409114"/>
      <w:r/>
      <w:bookmarkStart w:id="125" w:name="_Toc439777159"/>
      <w:r/>
      <w:bookmarkStart w:id="126" w:name="_Toc54372655"/>
      <w:r/>
      <w:bookmarkStart w:id="127" w:name="_Toc434481560"/>
      <w:r/>
      <w:bookmarkStart w:id="128" w:name="_Toc440442375"/>
      <w:r/>
      <w:bookmarkStart w:id="129" w:name="_Toc59900983"/>
      <w:r/>
      <w:bookmarkStart w:id="130" w:name="_Toc56141898"/>
      <w:r/>
      <w:bookmarkStart w:id="131" w:name="_Toc54372237"/>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numPr>
          <w:numId w:val="0"/>
        </w:numPr>
        <w:jc w:val="center"/>
        <w:pageBreakBefore w:val="0"/>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17.</w:t>
      </w:r>
      <w:r>
        <w:rPr>
          <w:rFonts w:hint="eastAsia" w:ascii="宋体" w:hAnsi="宋体" w:eastAsia="宋体" w:cs="宋体"/>
          <w:b/>
          <w:color w:val="auto"/>
          <w:sz w:val="21"/>
          <w:szCs w:val="21"/>
          <w:highlight w:val="none"/>
          <w:lang w:val="en-US" w:eastAsia="zh-CN" w:bidi="ar-SA"/>
        </w:rPr>
        <w:t xml:space="preserve">首次响应报价表</w:t>
      </w:r>
      <w:r/>
    </w:p>
    <w:p>
      <w:pPr>
        <w:pStyle w:val="1181"/>
        <w:jc w:val="both"/>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tbl>
      <w:tblPr>
        <w:tblStyle w:val="1184"/>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1"/>
        <w:gridCol w:w="2678"/>
        <w:gridCol w:w="1715"/>
        <w:gridCol w:w="3273"/>
        <w:gridCol w:w="1030"/>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磋商响应报价（元）</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ind w:firstLine="441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pageBreakBefore w:val="0"/>
        <w:spacing w:line="360" w:lineRule="auto"/>
        <w:rPr>
          <w:color w:val="auto"/>
          <w:sz w:val="20"/>
          <w:highlight w:val="none"/>
        </w:rPr>
      </w:pPr>
      <w:r>
        <w:rPr>
          <w:color w:val="auto"/>
          <w:sz w:val="20"/>
          <w:highlight w:val="none"/>
        </w:rPr>
      </w:r>
      <w:r/>
    </w:p>
    <w:p>
      <w:pPr>
        <w:pStyle w:val="1218"/>
        <w:ind w:firstLine="5400"/>
        <w:jc w:val="left"/>
        <w:pageBreakBefore w:val="0"/>
        <w:spacing w:line="360" w:lineRule="auto"/>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年  月  日</w:t>
      </w:r>
      <w:r/>
    </w:p>
    <w:p>
      <w:pPr>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jc w:val="center"/>
        <w:pageBreakBefore w:val="0"/>
        <w:spacing w:line="360" w:lineRule="auto"/>
        <w:rPr>
          <w:rFonts w:hint="default" w:ascii="宋体" w:hAnsi="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报价</w:t>
      </w:r>
      <w:r>
        <w:rPr>
          <w:rFonts w:hint="eastAsia" w:ascii="宋体" w:hAnsi="宋体" w:cs="Times New Roman"/>
          <w:b/>
          <w:color w:val="auto"/>
          <w:sz w:val="21"/>
          <w:szCs w:val="21"/>
          <w:highlight w:val="none"/>
          <w:lang w:val="en-US" w:eastAsia="zh-CN" w:bidi="ar-SA"/>
        </w:rPr>
        <w:t xml:space="preserve">明细表</w:t>
      </w:r>
      <w:r/>
    </w:p>
    <w:tbl>
      <w:tblPr>
        <w:tblStyle w:val="1184"/>
        <w:tblW w:w="866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9"/>
        <w:gridCol w:w="1608"/>
        <w:gridCol w:w="1219"/>
        <w:gridCol w:w="870"/>
        <w:gridCol w:w="720"/>
        <w:gridCol w:w="720"/>
        <w:gridCol w:w="996"/>
        <w:gridCol w:w="1116"/>
      </w:tblGrid>
      <w:tr>
        <w:trPr>
          <w:jc w:val="center"/>
          <w:trHeight w:val="567"/>
        </w:trPr>
        <w:tc>
          <w:tcPr>
            <w:tcBorders>
              <w:top w:val="single" w:color="auto" w:sz="4" w:space="0"/>
              <w:left w:val="single" w:color="auto" w:sz="4" w:space="0"/>
              <w:bottom w:val="single" w:color="auto" w:sz="6" w:space="0"/>
              <w:right w:val="single" w:color="auto" w:sz="6" w:space="0"/>
            </w:tcBorders>
            <w:tcW w:w="1419"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序号</w:t>
            </w:r>
            <w:r/>
          </w:p>
        </w:tc>
        <w:tc>
          <w:tcPr>
            <w:tcBorders>
              <w:top w:val="single" w:color="auto" w:sz="4" w:space="0"/>
              <w:left w:val="single" w:color="auto" w:sz="6" w:space="0"/>
              <w:bottom w:val="single" w:color="auto" w:sz="6" w:space="0"/>
              <w:right w:val="single" w:color="auto" w:sz="6" w:space="0"/>
            </w:tcBorders>
            <w:tcW w:w="1608"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标的物名称</w:t>
            </w:r>
            <w:r/>
          </w:p>
        </w:tc>
        <w:tc>
          <w:tcPr>
            <w:tcBorders>
              <w:top w:val="single" w:color="auto" w:sz="4" w:space="0"/>
              <w:left w:val="single" w:color="auto" w:sz="6" w:space="0"/>
              <w:bottom w:val="single" w:color="auto" w:sz="4" w:space="0"/>
              <w:right w:val="single" w:color="auto" w:sz="6" w:space="0"/>
            </w:tcBorders>
            <w:tcW w:w="1219" w:type="dxa"/>
            <w:vAlign w:val="center"/>
            <w:textDirection w:val="lrTb"/>
            <w:noWrap w:val="false"/>
          </w:tcPr>
          <w:p>
            <w:pPr>
              <w:pStyle w:val="1219"/>
              <w:jc w:val="center"/>
              <w:pageBreakBefore w:val="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品牌、</w:t>
            </w:r>
            <w:r>
              <w:rPr>
                <w:rFonts w:hint="eastAsia" w:ascii="宋体" w:hAnsi="宋体" w:cs="宋体"/>
                <w:bCs/>
                <w:szCs w:val="21"/>
                <w:highlight w:val="none"/>
                <w:lang w:val="en-US" w:eastAsia="zh-CN"/>
              </w:rPr>
              <w:t xml:space="preserve">型号</w:t>
            </w:r>
            <w:r/>
          </w:p>
        </w:tc>
        <w:tc>
          <w:tcPr>
            <w:tcBorders>
              <w:top w:val="single" w:color="auto" w:sz="4" w:space="0"/>
              <w:left w:val="single" w:color="auto" w:sz="6" w:space="0"/>
              <w:bottom w:val="single" w:color="auto" w:sz="6" w:space="0"/>
              <w:right w:val="single" w:color="auto" w:sz="4" w:space="0"/>
            </w:tcBorders>
            <w:tcW w:w="870"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单位</w:t>
            </w:r>
            <w:r/>
          </w:p>
        </w:tc>
        <w:tc>
          <w:tcPr>
            <w:tcBorders>
              <w:top w:val="single" w:color="auto" w:sz="4" w:space="0"/>
              <w:left w:val="single" w:color="auto" w:sz="4" w:space="0"/>
              <w:bottom w:val="single" w:color="auto" w:sz="6" w:space="0"/>
              <w:right w:val="single" w:color="auto" w:sz="6" w:space="0"/>
            </w:tcBorders>
            <w:tcW w:w="720"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数量</w:t>
            </w:r>
            <w:r/>
          </w:p>
        </w:tc>
        <w:tc>
          <w:tcPr>
            <w:tcBorders>
              <w:top w:val="single" w:color="auto" w:sz="4" w:space="0"/>
              <w:left w:val="single" w:color="auto" w:sz="6" w:space="0"/>
              <w:bottom w:val="single" w:color="auto" w:sz="6" w:space="0"/>
              <w:right w:val="single" w:color="auto" w:sz="6" w:space="0"/>
            </w:tcBorders>
            <w:tcW w:w="720"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单价</w:t>
            </w:r>
            <w:r/>
          </w:p>
        </w:tc>
        <w:tc>
          <w:tcPr>
            <w:tcBorders>
              <w:top w:val="single" w:color="auto" w:sz="4" w:space="0"/>
              <w:left w:val="single" w:color="auto" w:sz="6" w:space="0"/>
              <w:bottom w:val="single" w:color="auto" w:sz="6" w:space="0"/>
              <w:right w:val="single" w:color="auto" w:sz="4" w:space="0"/>
            </w:tcBorders>
            <w:tcW w:w="996"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总价</w:t>
            </w:r>
            <w:r/>
          </w:p>
        </w:tc>
        <w:tc>
          <w:tcPr>
            <w:tcBorders>
              <w:top w:val="single" w:color="auto" w:sz="4" w:space="0"/>
              <w:left w:val="single" w:color="auto" w:sz="6" w:space="0"/>
              <w:bottom w:val="single" w:color="auto" w:sz="6" w:space="0"/>
              <w:right w:val="single" w:color="auto" w:sz="4" w:space="0"/>
            </w:tcBorders>
            <w:tcW w:w="1116"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交付期</w:t>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219"/>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4" w:space="0"/>
              <w:left w:val="single" w:color="auto" w:sz="6"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投标总报价</w:t>
            </w:r>
            <w:r/>
          </w:p>
        </w:tc>
        <w:tc>
          <w:tcPr>
            <w:gridSpan w:val="7"/>
            <w:tcBorders>
              <w:top w:val="single" w:color="auto" w:sz="4" w:space="0"/>
              <w:left w:val="single" w:color="auto" w:sz="6" w:space="0"/>
              <w:bottom w:val="single" w:color="auto" w:sz="6" w:space="0"/>
              <w:right w:val="single" w:color="auto" w:sz="6" w:space="0"/>
            </w:tcBorders>
            <w:tcW w:w="7249" w:type="dxa"/>
            <w:vAlign w:val="center"/>
            <w:textDirection w:val="lrTb"/>
            <w:noWrap w:val="false"/>
          </w:tcPr>
          <w:p>
            <w:pPr>
              <w:pStyle w:val="1219"/>
              <w:jc w:val="left"/>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金额大写                      元      （¥：              元）</w:t>
            </w:r>
            <w:r/>
          </w:p>
        </w:tc>
      </w:tr>
    </w:tbl>
    <w:p>
      <w:pPr>
        <w:jc w:val="center"/>
        <w:pageBreakBefore w:val="0"/>
        <w:spacing w:line="360" w:lineRule="auto"/>
        <w:rPr>
          <w:rFonts w:hint="default" w:ascii="宋体" w:hAnsi="宋体" w:cs="Times New Roman"/>
          <w:b/>
          <w:color w:val="auto"/>
          <w:sz w:val="21"/>
          <w:szCs w:val="21"/>
          <w:highlight w:val="none"/>
          <w:lang w:val="en-US" w:eastAsia="zh-CN" w:bidi="ar-SA"/>
        </w:rPr>
      </w:pPr>
      <w:r>
        <w:rPr>
          <w:rFonts w:hint="default" w:ascii="宋体" w:hAnsi="宋体" w:cs="Times New Roman"/>
          <w:b/>
          <w:color w:val="auto"/>
          <w:sz w:val="21"/>
          <w:szCs w:val="21"/>
          <w:highlight w:val="none"/>
          <w:lang w:val="en-US" w:eastAsia="zh-CN" w:bidi="ar-SA"/>
        </w:rPr>
      </w:r>
      <w:r/>
    </w:p>
    <w:p>
      <w:pPr>
        <w:ind w:firstLine="46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pStyle w:val="1186"/>
        <w:pageBreakBefore w:val="0"/>
        <w:spacing w:line="360" w:lineRule="auto"/>
        <w:rPr>
          <w:rFonts w:hint="default"/>
          <w:highlight w:val="none"/>
          <w:lang w:val="en-US" w:eastAsia="zh-CN"/>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ind w:firstLine="42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rPr>
          <w:rFonts w:hint="eastAsia" w:ascii="宋体" w:hAnsi="宋体" w:cs="宋体"/>
          <w:bCs/>
          <w:color w:val="auto"/>
          <w:szCs w:val="21"/>
          <w:highlight w:val="none"/>
        </w:rPr>
        <w:t xml:space="preserve">1.磋</w:t>
      </w:r>
      <w:r>
        <w:rPr>
          <w:rFonts w:hint="eastAsia" w:ascii="宋体" w:hAnsi="宋体" w:cs="宋体"/>
          <w:color w:val="auto"/>
          <w:szCs w:val="21"/>
          <w:highlight w:val="none"/>
        </w:rPr>
        <w:t xml:space="preserve">商报价（以人民币计价）</w:t>
      </w:r>
      <w:r>
        <w:rPr>
          <w:rFonts w:hint="eastAsia" w:ascii="宋体" w:hAnsi="宋体" w:cs="宋体"/>
          <w:bCs/>
          <w:color w:val="auto"/>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响应文件提交时只需填写磋商报价表（首次）。在二次报价环节，代理机构在苏采云系统发送二次报价通知后，所有的响应供应商须在</w:t>
      </w:r>
      <w:r>
        <w:rPr>
          <w:rFonts w:hint="eastAsia" w:ascii="宋体" w:hAnsi="宋体" w:cs="宋体"/>
          <w:b/>
          <w:bCs/>
          <w:color w:val="auto"/>
          <w:szCs w:val="21"/>
          <w:highlight w:val="none"/>
          <w:lang w:eastAsia="zh-CN"/>
        </w:rPr>
        <w:t xml:space="preserve">15分钟</w:t>
      </w:r>
      <w:r>
        <w:rPr>
          <w:rFonts w:hint="eastAsia" w:ascii="宋体" w:hAnsi="宋体" w:cs="宋体"/>
          <w:b/>
          <w:bCs/>
          <w:color w:val="auto"/>
          <w:szCs w:val="21"/>
          <w:highlight w:val="none"/>
        </w:rPr>
        <w:t xml:space="preserve">内填写完成二次报价，并按苏采云系统要求提交二次报价表。</w:t>
      </w:r>
      <w:r/>
    </w:p>
    <w:p>
      <w:pPr>
        <w:pageBreakBefore w:val="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pageBreakBefore w:val="0"/>
        <w:spacing w:line="360" w:lineRule="auto"/>
        <w:rPr>
          <w:rFonts w:hint="eastAsia" w:ascii="宋体" w:hAnsi="宋体" w:cs="宋体"/>
          <w:b/>
          <w:color w:val="auto"/>
          <w:szCs w:val="21"/>
          <w:highlight w:val="none"/>
        </w:rPr>
      </w:pPr>
      <w:r>
        <w:rPr>
          <w:rFonts w:hint="eastAsia" w:ascii="宋体" w:hAnsi="宋体"/>
          <w:color w:val="auto"/>
          <w:szCs w:val="21"/>
          <w:highlight w:val="none"/>
          <w:lang w:val="en-US" w:eastAsia="zh-CN"/>
        </w:rPr>
        <w:t xml:space="preserve">18</w:t>
      </w:r>
      <w:r>
        <w:rPr>
          <w:rFonts w:hint="eastAsia" w:ascii="宋体" w:hAnsi="宋体"/>
          <w:color w:val="auto"/>
          <w:szCs w:val="21"/>
          <w:highlight w:val="none"/>
        </w:rPr>
        <w:t xml:space="preserve">.技术说明与服务方案</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.要求采购人提供的配合（如有自拟并自行添加）</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20</w:t>
      </w:r>
      <w:r>
        <w:rPr>
          <w:rFonts w:hint="eastAsia" w:ascii="宋体" w:hAnsi="宋体"/>
          <w:color w:val="auto"/>
          <w:szCs w:val="21"/>
          <w:highlight w:val="none"/>
        </w:rPr>
        <w:t xml:space="preserve">.其他（供应商认为有必要提供的声明和文件，如有自拟并自行添加）</w:t>
      </w:r>
      <w:r/>
    </w:p>
    <w:p>
      <w:pPr>
        <w:pStyle w:val="1220"/>
        <w:ind w:firstLine="482"/>
        <w:jc w:val="center"/>
        <w:pageBreakBefore w:val="0"/>
        <w:spacing w:before="0" w:beforeAutospacing="0" w:after="0" w:afterAutospacing="0" w:line="360" w:lineRule="auto"/>
        <w:shd w:val="clear" w:color="auto" w:fill="ffffff"/>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r>
      <w:r/>
    </w:p>
    <w:p>
      <w:pPr>
        <w:pStyle w:val="1220"/>
        <w:ind w:firstLine="482"/>
        <w:jc w:val="center"/>
        <w:pageBreakBefore w:val="0"/>
        <w:spacing w:before="0" w:beforeAutospacing="0" w:after="0" w:afterAutospacing="0" w:line="360" w:lineRule="auto"/>
        <w:shd w:val="clear" w:color="auto" w:fill="ffffff"/>
        <w:rPr>
          <w:rFonts w:hint="eastAsia" w:ascii="宋体" w:hAnsi="宋体" w:cs="宋体"/>
          <w:color w:val="auto"/>
          <w:sz w:val="21"/>
          <w:szCs w:val="21"/>
          <w:highlight w:val="none"/>
          <w:lang w:eastAsia="zh-CN"/>
        </w:rPr>
      </w:pPr>
      <w:r/>
      <w:bookmarkStart w:id="132" w:name="_GoBack"/>
      <w:r/>
      <w:bookmarkEnd w:id="132"/>
      <w:r>
        <w:rPr>
          <w:rFonts w:hint="eastAsia" w:ascii="宋体" w:hAnsi="宋体" w:cs="宋体"/>
          <w:b/>
          <w:color w:val="auto"/>
          <w:sz w:val="21"/>
          <w:szCs w:val="21"/>
          <w:highlight w:val="none"/>
          <w:lang w:eastAsia="zh-CN"/>
        </w:rPr>
        <w:t xml:space="preserve">中小企业划型标准规定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各行业划型标准为：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pageBreakBefore w:val="0"/>
        <w:spacing w:line="360" w:lineRule="auto"/>
        <w:rPr>
          <w:color w:val="auto"/>
          <w:highlight w:val="none"/>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Style w:val="1213"/>
        <w:pageBreakBefore w:val="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rPr>
          <w:highlight w:val="none"/>
        </w:rPr>
      </w:pPr>
      <w:r>
        <w:rPr>
          <w:highlight w:val="none"/>
        </w:rPr>
      </w:r>
      <w:r/>
    </w:p>
    <w:p>
      <w:r/>
      <w:r/>
    </w:p>
    <w:sectPr>
      <w:headerReference w:type="default" r:id="rId10"/>
      <w:footerReference w:type="default" r:id="rId20"/>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等线 Light">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Black">
    <w:panose1 w:val="020B0A04020102020204"/>
  </w:font>
  <w:font w:name="宋体">
    <w:panose1 w:val="02010600030101010101"/>
  </w:font>
  <w:font w:name="Times New Roman">
    <w:panose1 w:val="02020603050405020304"/>
  </w:font>
  <w:font w:name="微软雅黑">
    <w:panose1 w:val="020B0503020204020204"/>
  </w:font>
  <w:font w:name="Calibri">
    <w:panose1 w:val="020F0502020204030204"/>
  </w:font>
  <w:font w:name="Microsoft New Tai Lue">
    <w:panose1 w:val="020B0502040204020203"/>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rPr>
        <w:rStyle w:val="119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9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119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9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pPr>
    <w:r>
      <w:rPr>
        <w:rFonts w:hint="eastAsia"/>
      </w:rPr>
      <w:t xml:space="preserve">第 </w:t>
    </w:r>
    <w:r>
      <w:fldChar w:fldCharType="begin"/>
    </w:r>
    <w:r>
      <w:rPr>
        <w:rStyle w:val="1198"/>
      </w:rPr>
      <w:instrText xml:space="preserve"> PAGE </w:instrText>
    </w:r>
    <w:r>
      <w:fldChar w:fldCharType="separate"/>
    </w:r>
    <w:r>
      <w:rPr>
        <w:rStyle w:val="1198"/>
      </w:rPr>
      <w:t xml:space="preserve">24</w:t>
    </w:r>
    <w:r>
      <w:fldChar w:fldCharType="end"/>
    </w:r>
    <w:r>
      <w:rPr>
        <w:rFonts w:hint="eastAsia"/>
      </w:rPr>
      <w:t xml:space="preserve"> 页 共 </w:t>
    </w:r>
    <w:r>
      <w:fldChar w:fldCharType="begin"/>
    </w:r>
    <w:r>
      <w:rPr>
        <w:rStyle w:val="1198"/>
      </w:rPr>
      <w:instrText xml:space="preserve"> NUMPAGES </w:instrText>
    </w:r>
    <w:r>
      <w:fldChar w:fldCharType="separate"/>
    </w:r>
    <w:r>
      <w:rPr>
        <w:rStyle w:val="1198"/>
      </w:rPr>
      <w:t xml:space="preserve">41</w:t>
    </w:r>
    <w:r>
      <w:fldChar w:fldCharType="end"/>
    </w:r>
    <w:r>
      <w:rPr>
        <w:rFonts w:hint="eastAsia"/>
      </w:rPr>
      <w:t xml:space="preserve"> 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rPr>
        <w:rStyle w:val="1198"/>
      </w:rPr>
      <w:framePr w:wrap="around" w:vAnchor="text" w:hAnchor="margin" w:xAlign="center" w:y="1"/>
    </w:pPr>
    <w:r>
      <w:fldChar w:fldCharType="begin"/>
    </w:r>
    <w:r>
      <w:rPr>
        <w:rStyle w:val="1198"/>
      </w:rPr>
      <w:instrText xml:space="preserve">PAGE  </w:instrText>
    </w:r>
    <w:r>
      <w:fldChar w:fldCharType="end"/>
    </w:r>
    <w:r/>
  </w:p>
  <w:p>
    <w:pPr>
      <w:pStyle w:val="1190"/>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pPr>
    <w:r>
      <w:rPr>
        <w:rFonts w:hint="eastAsia"/>
      </w:rPr>
      <w:t xml:space="preserve">第 </w:t>
    </w:r>
    <w:r>
      <w:fldChar w:fldCharType="begin"/>
    </w:r>
    <w:r>
      <w:rPr>
        <w:rStyle w:val="1198"/>
      </w:rPr>
      <w:instrText xml:space="preserve"> PAGE </w:instrText>
    </w:r>
    <w:r>
      <w:fldChar w:fldCharType="separate"/>
    </w:r>
    <w:r>
      <w:rPr>
        <w:rStyle w:val="1198"/>
      </w:rPr>
      <w:t xml:space="preserve">56</w:t>
    </w:r>
    <w:r>
      <w:fldChar w:fldCharType="end"/>
    </w:r>
    <w:r>
      <w:rPr>
        <w:rFonts w:hint="eastAsia"/>
      </w:rPr>
      <w:t xml:space="preserve"> 页 共 </w:t>
    </w:r>
    <w:r>
      <w:fldChar w:fldCharType="begin"/>
    </w:r>
    <w:r>
      <w:rPr>
        <w:rStyle w:val="1198"/>
      </w:rPr>
      <w:instrText xml:space="preserve"> NUMPAGES </w:instrText>
    </w:r>
    <w:r>
      <w:fldChar w:fldCharType="separate"/>
    </w:r>
    <w:r>
      <w:rPr>
        <w:rStyle w:val="1198"/>
      </w:rPr>
      <w:t xml:space="preserve">66</w:t>
    </w:r>
    <w:r>
      <w:fldChar w:fldCharType="end"/>
    </w:r>
    <w:r>
      <w:rPr>
        <w:rFonts w:hint="eastAsia"/>
      </w:rPr>
      <w:t xml:space="preserve"> 页</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0"/>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0"/>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6"/>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1196"/>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90"/>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0"/>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5"/>
  </w:num>
  <w:num w:numId="4">
    <w:abstractNumId w:val="6"/>
  </w:num>
  <w:num w:numId="5">
    <w:abstractNumId w:val="3"/>
  </w:num>
  <w:num w:numId="6">
    <w:abstractNumId w:val="7"/>
  </w:num>
  <w:num w:numId="7">
    <w:abstractNumId w:val="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10">
    <w:name w:val="Heading 1 Char"/>
    <w:basedOn w:val="1183"/>
    <w:link w:val="1180"/>
    <w:uiPriority w:val="9"/>
    <w:rPr>
      <w:rFonts w:ascii="Arial" w:hAnsi="Arial" w:eastAsia="Arial" w:cs="Arial"/>
      <w:sz w:val="40"/>
      <w:szCs w:val="40"/>
    </w:rPr>
  </w:style>
  <w:style w:type="character" w:styleId="1011">
    <w:name w:val="Heading 2 Char"/>
    <w:basedOn w:val="1183"/>
    <w:link w:val="1181"/>
    <w:uiPriority w:val="9"/>
    <w:rPr>
      <w:rFonts w:ascii="Arial" w:hAnsi="Arial" w:eastAsia="Arial" w:cs="Arial"/>
      <w:sz w:val="34"/>
    </w:rPr>
  </w:style>
  <w:style w:type="character" w:styleId="1012">
    <w:name w:val="Heading 3 Char"/>
    <w:basedOn w:val="1183"/>
    <w:link w:val="1182"/>
    <w:uiPriority w:val="9"/>
    <w:rPr>
      <w:rFonts w:ascii="Arial" w:hAnsi="Arial" w:eastAsia="Arial" w:cs="Arial"/>
      <w:sz w:val="30"/>
      <w:szCs w:val="30"/>
    </w:rPr>
  </w:style>
  <w:style w:type="paragraph" w:styleId="1013">
    <w:name w:val="Heading 4"/>
    <w:basedOn w:val="1179"/>
    <w:next w:val="1179"/>
    <w:link w:val="1014"/>
    <w:uiPriority w:val="9"/>
    <w:unhideWhenUsed/>
    <w:qFormat/>
    <w:pPr>
      <w:keepLines/>
      <w:keepNext/>
      <w:spacing w:before="320" w:after="200"/>
      <w:outlineLvl w:val="3"/>
    </w:pPr>
    <w:rPr>
      <w:rFonts w:ascii="Arial" w:hAnsi="Arial" w:eastAsia="Arial" w:cs="Arial"/>
      <w:b/>
      <w:bCs/>
      <w:sz w:val="26"/>
      <w:szCs w:val="26"/>
    </w:rPr>
  </w:style>
  <w:style w:type="character" w:styleId="1014">
    <w:name w:val="Heading 4 Char"/>
    <w:basedOn w:val="1183"/>
    <w:link w:val="1013"/>
    <w:uiPriority w:val="9"/>
    <w:rPr>
      <w:rFonts w:ascii="Arial" w:hAnsi="Arial" w:eastAsia="Arial" w:cs="Arial"/>
      <w:b/>
      <w:bCs/>
      <w:sz w:val="26"/>
      <w:szCs w:val="26"/>
    </w:rPr>
  </w:style>
  <w:style w:type="paragraph" w:styleId="1015">
    <w:name w:val="Heading 5"/>
    <w:basedOn w:val="1179"/>
    <w:next w:val="1179"/>
    <w:link w:val="1016"/>
    <w:uiPriority w:val="9"/>
    <w:unhideWhenUsed/>
    <w:qFormat/>
    <w:pPr>
      <w:keepLines/>
      <w:keepNext/>
      <w:spacing w:before="320" w:after="200"/>
      <w:outlineLvl w:val="4"/>
    </w:pPr>
    <w:rPr>
      <w:rFonts w:ascii="Arial" w:hAnsi="Arial" w:eastAsia="Arial" w:cs="Arial"/>
      <w:b/>
      <w:bCs/>
      <w:sz w:val="24"/>
      <w:szCs w:val="24"/>
    </w:rPr>
  </w:style>
  <w:style w:type="character" w:styleId="1016">
    <w:name w:val="Heading 5 Char"/>
    <w:basedOn w:val="1183"/>
    <w:link w:val="1015"/>
    <w:uiPriority w:val="9"/>
    <w:rPr>
      <w:rFonts w:ascii="Arial" w:hAnsi="Arial" w:eastAsia="Arial" w:cs="Arial"/>
      <w:b/>
      <w:bCs/>
      <w:sz w:val="24"/>
      <w:szCs w:val="24"/>
    </w:rPr>
  </w:style>
  <w:style w:type="paragraph" w:styleId="1017">
    <w:name w:val="Heading 6"/>
    <w:basedOn w:val="1179"/>
    <w:next w:val="1179"/>
    <w:link w:val="1018"/>
    <w:uiPriority w:val="9"/>
    <w:unhideWhenUsed/>
    <w:qFormat/>
    <w:pPr>
      <w:keepLines/>
      <w:keepNext/>
      <w:spacing w:before="320" w:after="200"/>
      <w:outlineLvl w:val="5"/>
    </w:pPr>
    <w:rPr>
      <w:rFonts w:ascii="Arial" w:hAnsi="Arial" w:eastAsia="Arial" w:cs="Arial"/>
      <w:b/>
      <w:bCs/>
      <w:sz w:val="22"/>
      <w:szCs w:val="22"/>
    </w:rPr>
  </w:style>
  <w:style w:type="character" w:styleId="1018">
    <w:name w:val="Heading 6 Char"/>
    <w:basedOn w:val="1183"/>
    <w:link w:val="1017"/>
    <w:uiPriority w:val="9"/>
    <w:rPr>
      <w:rFonts w:ascii="Arial" w:hAnsi="Arial" w:eastAsia="Arial" w:cs="Arial"/>
      <w:b/>
      <w:bCs/>
      <w:sz w:val="22"/>
      <w:szCs w:val="22"/>
    </w:rPr>
  </w:style>
  <w:style w:type="paragraph" w:styleId="1019">
    <w:name w:val="Heading 7"/>
    <w:basedOn w:val="1179"/>
    <w:next w:val="1179"/>
    <w:link w:val="1020"/>
    <w:uiPriority w:val="9"/>
    <w:unhideWhenUsed/>
    <w:qFormat/>
    <w:pPr>
      <w:keepLines/>
      <w:keepNext/>
      <w:spacing w:before="320" w:after="200"/>
      <w:outlineLvl w:val="6"/>
    </w:pPr>
    <w:rPr>
      <w:rFonts w:ascii="Arial" w:hAnsi="Arial" w:eastAsia="Arial" w:cs="Arial"/>
      <w:b/>
      <w:bCs/>
      <w:i/>
      <w:iCs/>
      <w:sz w:val="22"/>
      <w:szCs w:val="22"/>
    </w:rPr>
  </w:style>
  <w:style w:type="character" w:styleId="1020">
    <w:name w:val="Heading 7 Char"/>
    <w:basedOn w:val="1183"/>
    <w:link w:val="1019"/>
    <w:uiPriority w:val="9"/>
    <w:rPr>
      <w:rFonts w:ascii="Arial" w:hAnsi="Arial" w:eastAsia="Arial" w:cs="Arial"/>
      <w:b/>
      <w:bCs/>
      <w:i/>
      <w:iCs/>
      <w:sz w:val="22"/>
      <w:szCs w:val="22"/>
    </w:rPr>
  </w:style>
  <w:style w:type="paragraph" w:styleId="1021">
    <w:name w:val="Heading 8"/>
    <w:basedOn w:val="1179"/>
    <w:next w:val="1179"/>
    <w:link w:val="1022"/>
    <w:uiPriority w:val="9"/>
    <w:unhideWhenUsed/>
    <w:qFormat/>
    <w:pPr>
      <w:keepLines/>
      <w:keepNext/>
      <w:spacing w:before="320" w:after="200"/>
      <w:outlineLvl w:val="7"/>
    </w:pPr>
    <w:rPr>
      <w:rFonts w:ascii="Arial" w:hAnsi="Arial" w:eastAsia="Arial" w:cs="Arial"/>
      <w:i/>
      <w:iCs/>
      <w:sz w:val="22"/>
      <w:szCs w:val="22"/>
    </w:rPr>
  </w:style>
  <w:style w:type="character" w:styleId="1022">
    <w:name w:val="Heading 8 Char"/>
    <w:basedOn w:val="1183"/>
    <w:link w:val="1021"/>
    <w:uiPriority w:val="9"/>
    <w:rPr>
      <w:rFonts w:ascii="Arial" w:hAnsi="Arial" w:eastAsia="Arial" w:cs="Arial"/>
      <w:i/>
      <w:iCs/>
      <w:sz w:val="22"/>
      <w:szCs w:val="22"/>
    </w:rPr>
  </w:style>
  <w:style w:type="paragraph" w:styleId="1023">
    <w:name w:val="Heading 9"/>
    <w:basedOn w:val="1179"/>
    <w:next w:val="1179"/>
    <w:link w:val="1024"/>
    <w:uiPriority w:val="9"/>
    <w:unhideWhenUsed/>
    <w:qFormat/>
    <w:pPr>
      <w:keepLines/>
      <w:keepNext/>
      <w:spacing w:before="320" w:after="200"/>
      <w:outlineLvl w:val="8"/>
    </w:pPr>
    <w:rPr>
      <w:rFonts w:ascii="Arial" w:hAnsi="Arial" w:eastAsia="Arial" w:cs="Arial"/>
      <w:i/>
      <w:iCs/>
      <w:sz w:val="21"/>
      <w:szCs w:val="21"/>
    </w:rPr>
  </w:style>
  <w:style w:type="character" w:styleId="1024">
    <w:name w:val="Heading 9 Char"/>
    <w:basedOn w:val="1183"/>
    <w:link w:val="1023"/>
    <w:uiPriority w:val="9"/>
    <w:rPr>
      <w:rFonts w:ascii="Arial" w:hAnsi="Arial" w:eastAsia="Arial" w:cs="Arial"/>
      <w:i/>
      <w:iCs/>
      <w:sz w:val="21"/>
      <w:szCs w:val="21"/>
    </w:rPr>
  </w:style>
  <w:style w:type="paragraph" w:styleId="1025">
    <w:name w:val="No Spacing"/>
    <w:uiPriority w:val="1"/>
    <w:qFormat/>
    <w:pPr>
      <w:spacing w:before="0" w:after="0" w:line="240" w:lineRule="auto"/>
    </w:pPr>
  </w:style>
  <w:style w:type="character" w:styleId="1026">
    <w:name w:val="Title Char"/>
    <w:basedOn w:val="1183"/>
    <w:link w:val="1195"/>
    <w:uiPriority w:val="10"/>
    <w:rPr>
      <w:sz w:val="48"/>
      <w:szCs w:val="48"/>
    </w:rPr>
  </w:style>
  <w:style w:type="paragraph" w:styleId="1027">
    <w:name w:val="Subtitle"/>
    <w:basedOn w:val="1179"/>
    <w:next w:val="1179"/>
    <w:link w:val="1028"/>
    <w:uiPriority w:val="11"/>
    <w:qFormat/>
    <w:pPr>
      <w:spacing w:before="200" w:after="200"/>
    </w:pPr>
    <w:rPr>
      <w:sz w:val="24"/>
      <w:szCs w:val="24"/>
    </w:rPr>
  </w:style>
  <w:style w:type="character" w:styleId="1028">
    <w:name w:val="Subtitle Char"/>
    <w:basedOn w:val="1183"/>
    <w:link w:val="1027"/>
    <w:uiPriority w:val="11"/>
    <w:rPr>
      <w:sz w:val="24"/>
      <w:szCs w:val="24"/>
    </w:rPr>
  </w:style>
  <w:style w:type="paragraph" w:styleId="1029">
    <w:name w:val="Quote"/>
    <w:basedOn w:val="1179"/>
    <w:next w:val="1179"/>
    <w:link w:val="1030"/>
    <w:uiPriority w:val="29"/>
    <w:qFormat/>
    <w:pPr>
      <w:ind w:left="720" w:right="720"/>
    </w:pPr>
    <w:rPr>
      <w:i/>
    </w:rPr>
  </w:style>
  <w:style w:type="character" w:styleId="1030">
    <w:name w:val="Quote Char"/>
    <w:link w:val="1029"/>
    <w:uiPriority w:val="29"/>
    <w:rPr>
      <w:i/>
    </w:rPr>
  </w:style>
  <w:style w:type="paragraph" w:styleId="1031">
    <w:name w:val="Intense Quote"/>
    <w:basedOn w:val="1179"/>
    <w:next w:val="1179"/>
    <w:link w:val="10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2">
    <w:name w:val="Intense Quote Char"/>
    <w:link w:val="1031"/>
    <w:uiPriority w:val="30"/>
    <w:rPr>
      <w:i/>
    </w:rPr>
  </w:style>
  <w:style w:type="character" w:styleId="1033">
    <w:name w:val="Header Char"/>
    <w:basedOn w:val="1183"/>
    <w:link w:val="1191"/>
    <w:uiPriority w:val="99"/>
  </w:style>
  <w:style w:type="character" w:styleId="1034">
    <w:name w:val="Footer Char"/>
    <w:basedOn w:val="1183"/>
    <w:link w:val="1190"/>
    <w:uiPriority w:val="99"/>
  </w:style>
  <w:style w:type="paragraph" w:styleId="1035">
    <w:name w:val="Caption"/>
    <w:basedOn w:val="1179"/>
    <w:next w:val="1179"/>
    <w:uiPriority w:val="35"/>
    <w:semiHidden/>
    <w:unhideWhenUsed/>
    <w:qFormat/>
    <w:pPr>
      <w:spacing w:line="276" w:lineRule="auto"/>
    </w:pPr>
    <w:rPr>
      <w:b/>
      <w:bCs/>
      <w:color w:val="4f81bd" w:themeColor="accent1"/>
      <w:sz w:val="18"/>
      <w:szCs w:val="18"/>
    </w:rPr>
  </w:style>
  <w:style w:type="character" w:styleId="1036">
    <w:name w:val="Caption Char"/>
    <w:basedOn w:val="1035"/>
    <w:link w:val="1190"/>
    <w:uiPriority w:val="99"/>
  </w:style>
  <w:style w:type="table" w:styleId="1037">
    <w:name w:val="Table Grid"/>
    <w:basedOn w:val="118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8">
    <w:name w:val="Table Grid Light"/>
    <w:basedOn w:val="11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9">
    <w:name w:val="Plain Table 1"/>
    <w:basedOn w:val="11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0">
    <w:name w:val="Plain Table 2"/>
    <w:basedOn w:val="11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1">
    <w:name w:val="Plain Table 3"/>
    <w:basedOn w:val="11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2">
    <w:name w:val="Plain Table 4"/>
    <w:basedOn w:val="11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3">
    <w:name w:val="Plain Table 5"/>
    <w:basedOn w:val="11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44">
    <w:name w:val="Grid Table 1 Light"/>
    <w:basedOn w:val="11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5">
    <w:name w:val="Grid Table 1 Light - Accent 1"/>
    <w:basedOn w:val="11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6">
    <w:name w:val="Grid Table 1 Light - Accent 2"/>
    <w:basedOn w:val="11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7">
    <w:name w:val="Grid Table 1 Light - Accent 3"/>
    <w:basedOn w:val="11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8">
    <w:name w:val="Grid Table 1 Light - Accent 4"/>
    <w:basedOn w:val="11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9">
    <w:name w:val="Grid Table 1 Light - Accent 5"/>
    <w:basedOn w:val="11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0">
    <w:name w:val="Grid Table 1 Light - Accent 6"/>
    <w:basedOn w:val="11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1">
    <w:name w:val="Grid Table 2"/>
    <w:basedOn w:val="11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2">
    <w:name w:val="Grid Table 2 - Accent 1"/>
    <w:basedOn w:val="11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3">
    <w:name w:val="Grid Table 2 - Accent 2"/>
    <w:basedOn w:val="11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54">
    <w:name w:val="Grid Table 2 - Accent 3"/>
    <w:basedOn w:val="11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5">
    <w:name w:val="Grid Table 2 - Accent 4"/>
    <w:basedOn w:val="11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6">
    <w:name w:val="Grid Table 2 - Accent 5"/>
    <w:basedOn w:val="11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7">
    <w:name w:val="Grid Table 2 - Accent 6"/>
    <w:basedOn w:val="11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8">
    <w:name w:val="Grid Table 3"/>
    <w:basedOn w:val="11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9">
    <w:name w:val="Grid Table 3 - Accent 1"/>
    <w:basedOn w:val="11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0">
    <w:name w:val="Grid Table 3 - Accent 2"/>
    <w:basedOn w:val="11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1">
    <w:name w:val="Grid Table 3 - Accent 3"/>
    <w:basedOn w:val="11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2">
    <w:name w:val="Grid Table 3 - Accent 4"/>
    <w:basedOn w:val="11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3">
    <w:name w:val="Grid Table 3 - Accent 5"/>
    <w:basedOn w:val="11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4">
    <w:name w:val="Grid Table 3 - Accent 6"/>
    <w:basedOn w:val="11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5">
    <w:name w:val="Grid Table 4"/>
    <w:basedOn w:val="11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6">
    <w:name w:val="Grid Table 4 - Accent 1"/>
    <w:basedOn w:val="11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7">
    <w:name w:val="Grid Table 4 - Accent 2"/>
    <w:basedOn w:val="11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8">
    <w:name w:val="Grid Table 4 - Accent 3"/>
    <w:basedOn w:val="11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9">
    <w:name w:val="Grid Table 4 - Accent 4"/>
    <w:basedOn w:val="11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0">
    <w:name w:val="Grid Table 4 - Accent 5"/>
    <w:basedOn w:val="11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1">
    <w:name w:val="Grid Table 4 - Accent 6"/>
    <w:basedOn w:val="11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2">
    <w:name w:val="Grid Table 5 Dark"/>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3">
    <w:name w:val="Grid Table 5 Dark- Accent 1"/>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74">
    <w:name w:val="Grid Table 5 Dark - Accent 2"/>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75">
    <w:name w:val="Grid Table 5 Dark - Accent 3"/>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76">
    <w:name w:val="Grid Table 5 Dark- Accent 4"/>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77">
    <w:name w:val="Grid Table 5 Dark - Accent 5"/>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78">
    <w:name w:val="Grid Table 5 Dark - Accent 6"/>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79">
    <w:name w:val="Grid Table 6 Colorful"/>
    <w:basedOn w:val="11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0">
    <w:name w:val="Grid Table 6 Colorful - Accent 1"/>
    <w:basedOn w:val="11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81">
    <w:name w:val="Grid Table 6 Colorful - Accent 2"/>
    <w:basedOn w:val="11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82">
    <w:name w:val="Grid Table 6 Colorful - Accent 3"/>
    <w:basedOn w:val="11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83">
    <w:name w:val="Grid Table 6 Colorful - Accent 4"/>
    <w:basedOn w:val="11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84">
    <w:name w:val="Grid Table 6 Colorful - Accent 5"/>
    <w:basedOn w:val="11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85">
    <w:name w:val="Grid Table 6 Colorful - Accent 6"/>
    <w:basedOn w:val="11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86">
    <w:name w:val="Grid Table 7 Colorful"/>
    <w:basedOn w:val="11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7">
    <w:name w:val="Grid Table 7 Colorful - Accent 1"/>
    <w:basedOn w:val="11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8">
    <w:name w:val="Grid Table 7 Colorful - Accent 2"/>
    <w:basedOn w:val="11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9">
    <w:name w:val="Grid Table 7 Colorful - Accent 3"/>
    <w:basedOn w:val="11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0">
    <w:name w:val="Grid Table 7 Colorful - Accent 4"/>
    <w:basedOn w:val="11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1">
    <w:name w:val="Grid Table 7 Colorful - Accent 5"/>
    <w:basedOn w:val="11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2">
    <w:name w:val="Grid Table 7 Colorful - Accent 6"/>
    <w:basedOn w:val="11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3">
    <w:name w:val="List Table 1 Light"/>
    <w:basedOn w:val="11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4">
    <w:name w:val="List Table 1 Light - Accent 1"/>
    <w:basedOn w:val="118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5">
    <w:name w:val="List Table 1 Light - Accent 2"/>
    <w:basedOn w:val="118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6">
    <w:name w:val="List Table 1 Light - Accent 3"/>
    <w:basedOn w:val="118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7">
    <w:name w:val="List Table 1 Light - Accent 4"/>
    <w:basedOn w:val="118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8">
    <w:name w:val="List Table 1 Light - Accent 5"/>
    <w:basedOn w:val="118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9">
    <w:name w:val="List Table 1 Light - Accent 6"/>
    <w:basedOn w:val="118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0">
    <w:name w:val="List Table 2"/>
    <w:basedOn w:val="11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1">
    <w:name w:val="List Table 2 - Accent 1"/>
    <w:basedOn w:val="11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2">
    <w:name w:val="List Table 2 - Accent 2"/>
    <w:basedOn w:val="11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3">
    <w:name w:val="List Table 2 - Accent 3"/>
    <w:basedOn w:val="11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04">
    <w:name w:val="List Table 2 - Accent 4"/>
    <w:basedOn w:val="11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5">
    <w:name w:val="List Table 2 - Accent 5"/>
    <w:basedOn w:val="11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6">
    <w:name w:val="List Table 2 - Accent 6"/>
    <w:basedOn w:val="11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7">
    <w:name w:val="List Table 3"/>
    <w:basedOn w:val="11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8">
    <w:name w:val="List Table 3 - Accent 1"/>
    <w:basedOn w:val="11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09">
    <w:name w:val="List Table 3 - Accent 2"/>
    <w:basedOn w:val="11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10">
    <w:name w:val="List Table 3 - Accent 3"/>
    <w:basedOn w:val="11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11">
    <w:name w:val="List Table 3 - Accent 4"/>
    <w:basedOn w:val="11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12">
    <w:name w:val="List Table 3 - Accent 5"/>
    <w:basedOn w:val="11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13">
    <w:name w:val="List Table 3 - Accent 6"/>
    <w:basedOn w:val="11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14">
    <w:name w:val="List Table 4"/>
    <w:basedOn w:val="11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5">
    <w:name w:val="List Table 4 - Accent 1"/>
    <w:basedOn w:val="11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16">
    <w:name w:val="List Table 4 - Accent 2"/>
    <w:basedOn w:val="11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17">
    <w:name w:val="List Table 4 - Accent 3"/>
    <w:basedOn w:val="11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18">
    <w:name w:val="List Table 4 - Accent 4"/>
    <w:basedOn w:val="11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19">
    <w:name w:val="List Table 4 - Accent 5"/>
    <w:basedOn w:val="11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20">
    <w:name w:val="List Table 4 - Accent 6"/>
    <w:basedOn w:val="11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21">
    <w:name w:val="List Table 5 Dark"/>
    <w:basedOn w:val="11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2">
    <w:name w:val="List Table 5 Dark - Accent 1"/>
    <w:basedOn w:val="11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3">
    <w:name w:val="List Table 5 Dark - Accent 2"/>
    <w:basedOn w:val="11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4">
    <w:name w:val="List Table 5 Dark - Accent 3"/>
    <w:basedOn w:val="11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5">
    <w:name w:val="List Table 5 Dark - Accent 4"/>
    <w:basedOn w:val="11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6">
    <w:name w:val="List Table 5 Dark - Accent 5"/>
    <w:basedOn w:val="11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7">
    <w:name w:val="List Table 5 Dark - Accent 6"/>
    <w:basedOn w:val="11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8">
    <w:name w:val="List Table 6 Colorful"/>
    <w:basedOn w:val="11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9">
    <w:name w:val="List Table 6 Colorful - Accent 1"/>
    <w:basedOn w:val="11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30">
    <w:name w:val="List Table 6 Colorful - Accent 2"/>
    <w:basedOn w:val="11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31">
    <w:name w:val="List Table 6 Colorful - Accent 3"/>
    <w:basedOn w:val="11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32">
    <w:name w:val="List Table 6 Colorful - Accent 4"/>
    <w:basedOn w:val="11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33">
    <w:name w:val="List Table 6 Colorful - Accent 5"/>
    <w:basedOn w:val="11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34">
    <w:name w:val="List Table 6 Colorful - Accent 6"/>
    <w:basedOn w:val="11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35">
    <w:name w:val="List Table 7 Colorful"/>
    <w:basedOn w:val="11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6">
    <w:name w:val="List Table 7 Colorful - Accent 1"/>
    <w:basedOn w:val="11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37">
    <w:name w:val="List Table 7 Colorful - Accent 2"/>
    <w:basedOn w:val="11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38">
    <w:name w:val="List Table 7 Colorful - Accent 3"/>
    <w:basedOn w:val="11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39">
    <w:name w:val="List Table 7 Colorful - Accent 4"/>
    <w:basedOn w:val="11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40">
    <w:name w:val="List Table 7 Colorful - Accent 5"/>
    <w:basedOn w:val="11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41">
    <w:name w:val="List Table 7 Colorful - Accent 6"/>
    <w:basedOn w:val="11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42">
    <w:name w:val="Lined - Accent"/>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3">
    <w:name w:val="Lined - Accent 1"/>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44">
    <w:name w:val="Lined - Accent 2"/>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45">
    <w:name w:val="Lined - Accent 3"/>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46">
    <w:name w:val="Lined - Accent 4"/>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47">
    <w:name w:val="Lined - Accent 5"/>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48">
    <w:name w:val="Lined - Accent 6"/>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49">
    <w:name w:val="Bordered &amp; Lined - Accent"/>
    <w:basedOn w:val="11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0">
    <w:name w:val="Bordered &amp; Lined - Accent 1"/>
    <w:basedOn w:val="11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51">
    <w:name w:val="Bordered &amp; Lined - Accent 2"/>
    <w:basedOn w:val="11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52">
    <w:name w:val="Bordered &amp; Lined - Accent 3"/>
    <w:basedOn w:val="11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53">
    <w:name w:val="Bordered &amp; Lined - Accent 4"/>
    <w:basedOn w:val="11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54">
    <w:name w:val="Bordered &amp; Lined - Accent 5"/>
    <w:basedOn w:val="11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55">
    <w:name w:val="Bordered &amp; Lined - Accent 6"/>
    <w:basedOn w:val="11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56">
    <w:name w:val="Bordered"/>
    <w:basedOn w:val="11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7">
    <w:name w:val="Bordered - Accent 1"/>
    <w:basedOn w:val="11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8">
    <w:name w:val="Bordered - Accent 2"/>
    <w:basedOn w:val="11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9">
    <w:name w:val="Bordered - Accent 3"/>
    <w:basedOn w:val="11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0">
    <w:name w:val="Bordered - Accent 4"/>
    <w:basedOn w:val="11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1">
    <w:name w:val="Bordered - Accent 5"/>
    <w:basedOn w:val="11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2">
    <w:name w:val="Bordered - Accent 6"/>
    <w:basedOn w:val="11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63">
    <w:name w:val="footnote text"/>
    <w:basedOn w:val="1179"/>
    <w:link w:val="1164"/>
    <w:uiPriority w:val="99"/>
    <w:semiHidden/>
    <w:unhideWhenUsed/>
    <w:pPr>
      <w:spacing w:after="40" w:line="240" w:lineRule="auto"/>
    </w:pPr>
    <w:rPr>
      <w:sz w:val="18"/>
    </w:rPr>
  </w:style>
  <w:style w:type="character" w:styleId="1164">
    <w:name w:val="Footnote Text Char"/>
    <w:link w:val="1163"/>
    <w:uiPriority w:val="99"/>
    <w:rPr>
      <w:sz w:val="18"/>
    </w:rPr>
  </w:style>
  <w:style w:type="character" w:styleId="1165">
    <w:name w:val="footnote reference"/>
    <w:basedOn w:val="1183"/>
    <w:uiPriority w:val="99"/>
    <w:unhideWhenUsed/>
    <w:rPr>
      <w:vertAlign w:val="superscript"/>
    </w:rPr>
  </w:style>
  <w:style w:type="paragraph" w:styleId="1166">
    <w:name w:val="endnote text"/>
    <w:basedOn w:val="1179"/>
    <w:link w:val="1167"/>
    <w:uiPriority w:val="99"/>
    <w:semiHidden/>
    <w:unhideWhenUsed/>
    <w:pPr>
      <w:spacing w:after="0" w:line="240" w:lineRule="auto"/>
    </w:pPr>
    <w:rPr>
      <w:sz w:val="20"/>
    </w:rPr>
  </w:style>
  <w:style w:type="character" w:styleId="1167">
    <w:name w:val="Endnote Text Char"/>
    <w:link w:val="1166"/>
    <w:uiPriority w:val="99"/>
    <w:rPr>
      <w:sz w:val="20"/>
    </w:rPr>
  </w:style>
  <w:style w:type="character" w:styleId="1168">
    <w:name w:val="endnote reference"/>
    <w:basedOn w:val="1183"/>
    <w:uiPriority w:val="99"/>
    <w:semiHidden/>
    <w:unhideWhenUsed/>
    <w:rPr>
      <w:vertAlign w:val="superscript"/>
    </w:rPr>
  </w:style>
  <w:style w:type="paragraph" w:styleId="1169">
    <w:name w:val="toc 2"/>
    <w:basedOn w:val="1179"/>
    <w:next w:val="1179"/>
    <w:uiPriority w:val="39"/>
    <w:unhideWhenUsed/>
    <w:pPr>
      <w:ind w:left="283" w:right="0" w:firstLine="0"/>
      <w:spacing w:after="57"/>
    </w:pPr>
  </w:style>
  <w:style w:type="paragraph" w:styleId="1170">
    <w:name w:val="toc 3"/>
    <w:basedOn w:val="1179"/>
    <w:next w:val="1179"/>
    <w:uiPriority w:val="39"/>
    <w:unhideWhenUsed/>
    <w:pPr>
      <w:ind w:left="567" w:right="0" w:firstLine="0"/>
      <w:spacing w:after="57"/>
    </w:pPr>
  </w:style>
  <w:style w:type="paragraph" w:styleId="1171">
    <w:name w:val="toc 4"/>
    <w:basedOn w:val="1179"/>
    <w:next w:val="1179"/>
    <w:uiPriority w:val="39"/>
    <w:unhideWhenUsed/>
    <w:pPr>
      <w:ind w:left="850" w:right="0" w:firstLine="0"/>
      <w:spacing w:after="57"/>
    </w:pPr>
  </w:style>
  <w:style w:type="paragraph" w:styleId="1172">
    <w:name w:val="toc 5"/>
    <w:basedOn w:val="1179"/>
    <w:next w:val="1179"/>
    <w:uiPriority w:val="39"/>
    <w:unhideWhenUsed/>
    <w:pPr>
      <w:ind w:left="1134" w:right="0" w:firstLine="0"/>
      <w:spacing w:after="57"/>
    </w:pPr>
  </w:style>
  <w:style w:type="paragraph" w:styleId="1173">
    <w:name w:val="toc 6"/>
    <w:basedOn w:val="1179"/>
    <w:next w:val="1179"/>
    <w:uiPriority w:val="39"/>
    <w:unhideWhenUsed/>
    <w:pPr>
      <w:ind w:left="1417" w:right="0" w:firstLine="0"/>
      <w:spacing w:after="57"/>
    </w:pPr>
  </w:style>
  <w:style w:type="paragraph" w:styleId="1174">
    <w:name w:val="toc 7"/>
    <w:basedOn w:val="1179"/>
    <w:next w:val="1179"/>
    <w:uiPriority w:val="39"/>
    <w:unhideWhenUsed/>
    <w:pPr>
      <w:ind w:left="1701" w:right="0" w:firstLine="0"/>
      <w:spacing w:after="57"/>
    </w:pPr>
  </w:style>
  <w:style w:type="paragraph" w:styleId="1175">
    <w:name w:val="toc 8"/>
    <w:basedOn w:val="1179"/>
    <w:next w:val="1179"/>
    <w:uiPriority w:val="39"/>
    <w:unhideWhenUsed/>
    <w:pPr>
      <w:ind w:left="1984" w:right="0" w:firstLine="0"/>
      <w:spacing w:after="57"/>
    </w:pPr>
  </w:style>
  <w:style w:type="paragraph" w:styleId="1176">
    <w:name w:val="toc 9"/>
    <w:basedOn w:val="1179"/>
    <w:next w:val="1179"/>
    <w:uiPriority w:val="39"/>
    <w:unhideWhenUsed/>
    <w:pPr>
      <w:ind w:left="2268" w:right="0" w:firstLine="0"/>
      <w:spacing w:after="57"/>
    </w:pPr>
  </w:style>
  <w:style w:type="paragraph" w:styleId="1177">
    <w:name w:val="TOC Heading"/>
    <w:uiPriority w:val="39"/>
    <w:unhideWhenUsed/>
  </w:style>
  <w:style w:type="paragraph" w:styleId="1178">
    <w:name w:val="table of figures"/>
    <w:basedOn w:val="1179"/>
    <w:next w:val="1179"/>
    <w:uiPriority w:val="99"/>
    <w:unhideWhenUsed/>
    <w:pPr>
      <w:spacing w:after="0" w:afterAutospacing="0"/>
    </w:pPr>
  </w:style>
  <w:style w:type="paragraph" w:styleId="117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1180">
    <w:name w:val="Heading 1"/>
    <w:basedOn w:val="1179"/>
    <w:next w:val="1179"/>
    <w:uiPriority w:val="0"/>
    <w:qFormat/>
    <w:pPr>
      <w:keepNext/>
      <w:outlineLvl w:val="0"/>
    </w:pPr>
    <w:rPr>
      <w:rFonts w:ascii="楷体_GB2312" w:hAnsi="Times New Roman" w:eastAsia="楷体_GB2312"/>
      <w:sz w:val="28"/>
      <w:szCs w:val="20"/>
    </w:rPr>
  </w:style>
  <w:style w:type="paragraph" w:styleId="1181">
    <w:name w:val="Heading 2"/>
    <w:basedOn w:val="1179"/>
    <w:next w:val="1179"/>
    <w:uiPriority w:val="0"/>
    <w:qFormat/>
    <w:pPr>
      <w:jc w:val="center"/>
      <w:keepLines/>
      <w:keepNext/>
      <w:spacing w:before="260" w:after="260" w:line="416" w:lineRule="auto"/>
      <w:outlineLvl w:val="1"/>
    </w:pPr>
    <w:rPr>
      <w:rFonts w:ascii="Arial" w:hAnsi="Arial" w:eastAsia="幼圆"/>
      <w:b/>
      <w:sz w:val="44"/>
      <w:szCs w:val="20"/>
    </w:rPr>
  </w:style>
  <w:style w:type="paragraph" w:styleId="1182">
    <w:name w:val="Heading 3"/>
    <w:basedOn w:val="1179"/>
    <w:next w:val="1185"/>
    <w:uiPriority w:val="9"/>
    <w:qFormat/>
    <w:pPr>
      <w:keepLines/>
      <w:keepNext/>
      <w:spacing w:before="260" w:after="260" w:line="416" w:lineRule="auto"/>
      <w:outlineLvl w:val="2"/>
    </w:pPr>
    <w:rPr>
      <w:rFonts w:ascii="Times New Roman" w:hAnsi="Times New Roman"/>
      <w:b/>
      <w:sz w:val="32"/>
      <w:szCs w:val="20"/>
    </w:rPr>
  </w:style>
  <w:style w:type="character" w:styleId="1183" w:default="1">
    <w:name w:val="Default Paragraph Font"/>
    <w:uiPriority w:val="0"/>
    <w:semiHidden/>
  </w:style>
  <w:style w:type="table" w:styleId="1184" w:default="1">
    <w:name w:val="Normal Table"/>
    <w:uiPriority w:val="0"/>
    <w:semiHidden/>
    <w:qFormat/>
    <w:tblPr>
      <w:tblCellMar>
        <w:left w:w="108" w:type="dxa"/>
        <w:top w:w="0" w:type="dxa"/>
        <w:right w:w="108" w:type="dxa"/>
        <w:bottom w:w="0" w:type="dxa"/>
      </w:tblCellMar>
    </w:tblPr>
  </w:style>
  <w:style w:type="paragraph" w:styleId="1185">
    <w:name w:val="Normal Indent"/>
    <w:basedOn w:val="1179"/>
    <w:uiPriority w:val="0"/>
    <w:qFormat/>
    <w:pPr>
      <w:ind w:firstLine="420"/>
    </w:pPr>
    <w:rPr>
      <w:rFonts w:ascii="Times New Roman" w:hAnsi="Times New Roman"/>
      <w:szCs w:val="20"/>
    </w:rPr>
  </w:style>
  <w:style w:type="paragraph" w:styleId="1186">
    <w:name w:val="Note Heading"/>
    <w:basedOn w:val="1179"/>
    <w:next w:val="1179"/>
    <w:uiPriority w:val="0"/>
    <w:unhideWhenUsed/>
    <w:qFormat/>
    <w:pPr>
      <w:jc w:val="center"/>
    </w:pPr>
    <w:rPr>
      <w:szCs w:val="24"/>
    </w:rPr>
  </w:style>
  <w:style w:type="paragraph" w:styleId="1187">
    <w:name w:val="Body Text"/>
    <w:basedOn w:val="1179"/>
    <w:uiPriority w:val="0"/>
    <w:qFormat/>
    <w:pPr>
      <w:spacing w:after="120"/>
    </w:pPr>
  </w:style>
  <w:style w:type="paragraph" w:styleId="1188">
    <w:name w:val="Body Text Indent"/>
    <w:basedOn w:val="1179"/>
    <w:uiPriority w:val="0"/>
    <w:qFormat/>
    <w:pPr>
      <w:ind w:firstLine="645"/>
    </w:pPr>
    <w:rPr>
      <w:rFonts w:ascii="楷体_GB2312" w:hAnsi="Times New Roman" w:eastAsia="楷体_GB2312"/>
      <w:sz w:val="32"/>
      <w:szCs w:val="20"/>
    </w:rPr>
  </w:style>
  <w:style w:type="paragraph" w:styleId="1189">
    <w:name w:val="Plain Text"/>
    <w:basedOn w:val="1179"/>
    <w:uiPriority w:val="99"/>
    <w:qFormat/>
    <w:rPr>
      <w:rFonts w:ascii="宋体" w:hAnsi="Courier New"/>
      <w:szCs w:val="20"/>
    </w:rPr>
  </w:style>
  <w:style w:type="paragraph" w:styleId="1190">
    <w:name w:val="Footer"/>
    <w:basedOn w:val="1179"/>
    <w:uiPriority w:val="0"/>
    <w:qFormat/>
    <w:pPr>
      <w:jc w:val="left"/>
      <w:tabs>
        <w:tab w:val="center" w:pos="4153" w:leader="none"/>
        <w:tab w:val="right" w:pos="8306" w:leader="none"/>
      </w:tabs>
    </w:pPr>
    <w:rPr>
      <w:rFonts w:ascii="Times New Roman" w:hAnsi="Times New Roman"/>
      <w:sz w:val="18"/>
      <w:szCs w:val="20"/>
    </w:rPr>
  </w:style>
  <w:style w:type="paragraph" w:styleId="1191">
    <w:name w:val="Header"/>
    <w:basedOn w:val="1179"/>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192">
    <w:name w:val="toc 1"/>
    <w:basedOn w:val="1179"/>
    <w:next w:val="1179"/>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93">
    <w:name w:val="Body Text 2"/>
    <w:basedOn w:val="1179"/>
    <w:uiPriority w:val="0"/>
    <w:qFormat/>
    <w:pPr>
      <w:spacing w:after="120" w:line="480" w:lineRule="auto"/>
    </w:pPr>
  </w:style>
  <w:style w:type="paragraph" w:styleId="1194">
    <w:name w:val="Normal (Web)"/>
    <w:basedOn w:val="1179"/>
    <w:uiPriority w:val="0"/>
    <w:qFormat/>
    <w:pPr>
      <w:jc w:val="left"/>
      <w:spacing w:beforeAutospacing="1" w:afterAutospacing="1"/>
    </w:pPr>
    <w:rPr>
      <w:rFonts w:cs="Times New Roman"/>
      <w:sz w:val="24"/>
    </w:rPr>
  </w:style>
  <w:style w:type="paragraph" w:styleId="1195">
    <w:name w:val="Title"/>
    <w:basedOn w:val="1179"/>
    <w:next w:val="1179"/>
    <w:uiPriority w:val="0"/>
    <w:qFormat/>
    <w:pPr>
      <w:jc w:val="center"/>
      <w:spacing w:before="240" w:after="60"/>
      <w:outlineLvl w:val="0"/>
    </w:pPr>
    <w:rPr>
      <w:rFonts w:ascii="等线 Light" w:hAnsi="等线 Light"/>
      <w:b/>
      <w:bCs/>
      <w:sz w:val="32"/>
      <w:szCs w:val="32"/>
    </w:rPr>
  </w:style>
  <w:style w:type="paragraph" w:styleId="1196">
    <w:name w:val="Body Text First Indent"/>
    <w:basedOn w:val="1187"/>
    <w:uiPriority w:val="0"/>
    <w:unhideWhenUsed/>
    <w:qFormat/>
    <w:pPr>
      <w:ind w:firstLine="420"/>
    </w:pPr>
    <w:rPr>
      <w:rFonts w:ascii="楷体_GB2312" w:hAnsi="Arial" w:eastAsia="楷体_GB2312"/>
      <w:sz w:val="28"/>
      <w:szCs w:val="20"/>
    </w:rPr>
  </w:style>
  <w:style w:type="character" w:styleId="1197">
    <w:name w:val="Strong"/>
    <w:basedOn w:val="1183"/>
    <w:uiPriority w:val="22"/>
    <w:qFormat/>
    <w:rPr>
      <w:b/>
    </w:rPr>
  </w:style>
  <w:style w:type="character" w:styleId="1198">
    <w:name w:val="page number"/>
    <w:uiPriority w:val="0"/>
    <w:qFormat/>
    <w:rPr>
      <w:rFonts w:ascii="Times New Roman" w:hAnsi="Times New Roman" w:eastAsia="宋体" w:cs="Times New Roman"/>
    </w:rPr>
  </w:style>
  <w:style w:type="character" w:styleId="1199">
    <w:name w:val="Emphasis"/>
    <w:basedOn w:val="1183"/>
    <w:uiPriority w:val="20"/>
    <w:qFormat/>
    <w:rPr>
      <w:i/>
    </w:rPr>
  </w:style>
  <w:style w:type="character" w:styleId="1200">
    <w:name w:val="Hyperlink"/>
    <w:uiPriority w:val="99"/>
    <w:qFormat/>
    <w:rPr>
      <w:rFonts w:ascii="Times New Roman" w:hAnsi="Times New Roman" w:eastAsia="宋体" w:cs="Times New Roman"/>
      <w:color w:val="0000ff"/>
      <w:u w:val="single"/>
    </w:rPr>
  </w:style>
  <w:style w:type="paragraph" w:styleId="1201" w:customStyle="1">
    <w:name w:val="普通正文"/>
    <w:basedOn w:val="1179"/>
    <w:uiPriority w:val="0"/>
    <w:qFormat/>
    <w:pPr>
      <w:ind w:firstLine="482"/>
      <w:jc w:val="left"/>
      <w:spacing w:line="360" w:lineRule="auto"/>
    </w:pPr>
    <w:rPr>
      <w:rFonts w:ascii="Arial" w:hAnsi="Arial"/>
      <w:sz w:val="24"/>
    </w:rPr>
  </w:style>
  <w:style w:type="paragraph" w:styleId="1202" w:customStyle="1">
    <w:name w:val="TOC 标题1"/>
    <w:basedOn w:val="1180"/>
    <w:next w:val="117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203" w:customStyle="1">
    <w:name w:val="目录 31"/>
    <w:basedOn w:val="1179"/>
    <w:next w:val="1179"/>
    <w:uiPriority w:val="0"/>
    <w:qFormat/>
    <w:pPr>
      <w:ind w:left="840"/>
    </w:pPr>
    <w:rPr>
      <w:lang w:eastAsia="en-US"/>
    </w:rPr>
  </w:style>
  <w:style w:type="paragraph" w:styleId="1204" w:customStyle="1">
    <w:name w:val="标题 31"/>
    <w:basedOn w:val="1179"/>
    <w:next w:val="1205"/>
    <w:uiPriority w:val="0"/>
    <w:qFormat/>
    <w:pPr>
      <w:keepLines/>
      <w:keepNext/>
      <w:spacing w:before="260" w:after="260" w:line="413" w:lineRule="auto"/>
      <w:outlineLvl w:val="2"/>
    </w:pPr>
    <w:rPr>
      <w:b/>
      <w:sz w:val="32"/>
      <w:szCs w:val="20"/>
    </w:rPr>
  </w:style>
  <w:style w:type="paragraph" w:styleId="1205" w:customStyle="1">
    <w:name w:val="正文缩进1"/>
    <w:basedOn w:val="1179"/>
    <w:uiPriority w:val="0"/>
    <w:qFormat/>
    <w:pPr>
      <w:ind w:firstLine="420"/>
    </w:pPr>
    <w:rPr>
      <w:szCs w:val="20"/>
    </w:rPr>
  </w:style>
  <w:style w:type="paragraph" w:styleId="1206" w:customStyle="1">
    <w:name w:val="正文文本首行缩进1"/>
    <w:next w:val="1207"/>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207" w:customStyle="1">
    <w:name w:val="正文缩进11"/>
    <w:next w:val="1179"/>
    <w:uiPriority w:val="0"/>
    <w:qFormat/>
    <w:pPr>
      <w:ind w:firstLine="200"/>
      <w:jc w:val="both"/>
      <w:widowControl w:val="off"/>
    </w:pPr>
    <w:rPr>
      <w:rFonts w:ascii="Times New Roman" w:hAnsi="Times New Roman" w:eastAsia="宋体" w:cs="Times New Roman"/>
      <w:sz w:val="21"/>
      <w:szCs w:val="24"/>
      <w:lang w:val="en-US" w:eastAsia="zh-CN" w:bidi="ar-SA"/>
    </w:rPr>
  </w:style>
  <w:style w:type="paragraph" w:styleId="1208" w:customStyle="1">
    <w:name w:val="列出段落2"/>
    <w:basedOn w:val="1179"/>
    <w:uiPriority w:val="34"/>
    <w:qFormat/>
    <w:pPr>
      <w:contextualSpacing/>
      <w:ind w:left="720"/>
      <w:jc w:val="left"/>
      <w:widowControl/>
    </w:pPr>
    <w:rPr>
      <w:sz w:val="24"/>
      <w:lang w:eastAsia="en-US" w:bidi="en-US"/>
    </w:rPr>
  </w:style>
  <w:style w:type="paragraph" w:styleId="1209">
    <w:name w:val="List Paragraph"/>
    <w:basedOn w:val="1179"/>
    <w:uiPriority w:val="34"/>
    <w:qFormat/>
    <w:pPr>
      <w:ind w:firstLine="420"/>
    </w:pPr>
  </w:style>
  <w:style w:type="table" w:styleId="1210" w:customStyle="1">
    <w:name w:val="Table Normal"/>
    <w:uiPriority w:val="0"/>
    <w:semiHidden/>
    <w:unhideWhenUsed/>
    <w:qFormat/>
    <w:tblPr>
      <w:tblCellMar>
        <w:left w:w="0" w:type="dxa"/>
        <w:top w:w="0" w:type="dxa"/>
        <w:right w:w="0" w:type="dxa"/>
        <w:bottom w:w="0" w:type="dxa"/>
      </w:tblCellMar>
    </w:tblPr>
  </w:style>
  <w:style w:type="paragraph" w:styleId="1211" w:customStyle="1">
    <w:name w:val="sh4"/>
    <w:basedOn w:val="1179"/>
    <w:uiPriority w:val="0"/>
    <w:qFormat/>
    <w:pPr>
      <w:ind w:firstLine="420"/>
      <w:spacing w:line="460" w:lineRule="exact"/>
    </w:pPr>
    <w:rPr>
      <w:rFonts w:ascii="宋体" w:hAnsi="宋体"/>
      <w:szCs w:val="21"/>
      <w:lang w:eastAsia="en-US"/>
    </w:rPr>
  </w:style>
  <w:style w:type="paragraph" w:styleId="1212" w:customStyle="1">
    <w:name w:val="段"/>
    <w:next w:val="1179"/>
    <w:uiPriority w:val="0"/>
    <w:qFormat/>
    <w:pPr>
      <w:ind w:firstLine="200"/>
      <w:jc w:val="both"/>
    </w:pPr>
    <w:rPr>
      <w:rFonts w:ascii="宋体" w:hAnsi="Times New Roman" w:eastAsia="宋体" w:cs="Times New Roman"/>
      <w:sz w:val="21"/>
      <w:szCs w:val="22"/>
      <w:lang w:val="en-US" w:eastAsia="zh-CN" w:bidi="ar-SA"/>
    </w:rPr>
  </w:style>
  <w:style w:type="paragraph" w:styleId="1213" w:customStyle="1">
    <w:name w:val="Char"/>
    <w:basedOn w:val="1179"/>
    <w:uiPriority w:val="0"/>
    <w:qFormat/>
    <w:pPr>
      <w:tabs>
        <w:tab w:val="left" w:pos="360" w:leader="none"/>
      </w:tabs>
    </w:pPr>
    <w:rPr>
      <w:rFonts w:ascii="Times New Roman" w:hAnsi="Times New Roman"/>
      <w:sz w:val="24"/>
    </w:rPr>
  </w:style>
  <w:style w:type="paragraph" w:styleId="1214" w:customStyle="1">
    <w:name w:val="正文文本1"/>
    <w:basedOn w:val="1179"/>
    <w:uiPriority w:val="0"/>
    <w:qFormat/>
    <w:rPr>
      <w:rFonts w:ascii="楷体_GB2312" w:hAnsi="Arial" w:eastAsia="楷体_GB2312"/>
      <w:sz w:val="28"/>
      <w:szCs w:val="20"/>
    </w:rPr>
  </w:style>
  <w:style w:type="paragraph" w:styleId="1215" w:customStyle="1">
    <w:name w:val="列表段落"/>
    <w:basedOn w:val="1179"/>
    <w:uiPriority w:val="1"/>
    <w:qFormat/>
    <w:pPr>
      <w:ind w:firstLine="420"/>
    </w:pPr>
    <w:rPr>
      <w:szCs w:val="22"/>
    </w:rPr>
  </w:style>
  <w:style w:type="paragraph" w:styleId="1216" w:customStyle="1">
    <w:name w:val="二级目录"/>
    <w:next w:val="1179"/>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217" w:customStyle="1">
    <w:name w:val="简单回函地址"/>
    <w:basedOn w:val="1179"/>
    <w:uiPriority w:val="0"/>
    <w:qFormat/>
    <w:rPr>
      <w:rFonts w:ascii="Times New Roman" w:hAnsi="Times New Roman" w:cs="宋体"/>
      <w:szCs w:val="21"/>
    </w:rPr>
  </w:style>
  <w:style w:type="paragraph" w:styleId="1218" w:customStyle="1">
    <w:name w:val="索引 41"/>
    <w:basedOn w:val="1179"/>
    <w:next w:val="1179"/>
    <w:uiPriority w:val="0"/>
    <w:qFormat/>
    <w:pPr>
      <w:ind w:left="1260"/>
    </w:pPr>
  </w:style>
  <w:style w:type="paragraph" w:styleId="1219" w:customStyle="1">
    <w:name w:val="Plain Text1"/>
    <w:basedOn w:val="1179"/>
    <w:uiPriority w:val="0"/>
    <w:qFormat/>
    <w:pPr>
      <w:spacing w:line="312" w:lineRule="atLeast"/>
    </w:pPr>
    <w:rPr>
      <w:rFonts w:ascii="Arial Black" w:hAnsi="Courier New"/>
      <w:szCs w:val="20"/>
    </w:rPr>
  </w:style>
  <w:style w:type="paragraph" w:styleId="1220" w:customStyle="1">
    <w:name w:val="普通(网站)1"/>
    <w:basedOn w:val="1179"/>
    <w:uiPriority w:val="0"/>
    <w:unhideWhenUsed/>
    <w:qFormat/>
    <w:pPr>
      <w:jc w:val="left"/>
      <w:spacing w:before="100" w:beforeAutospacing="1" w:after="100" w:afterAutospacing="1"/>
    </w:pPr>
    <w:rPr>
      <w:sz w:val="24"/>
      <w:lang w:eastAsia="en-US"/>
    </w:rPr>
  </w:style>
  <w:style w:type="paragraph" w:styleId="1221" w:customStyle="1">
    <w:name w:val="页脚11"/>
    <w:basedOn w:val="1179"/>
    <w:uiPriority w:val="0"/>
    <w:qFormat/>
    <w:pPr>
      <w:jc w:val="left"/>
      <w:tabs>
        <w:tab w:val="center" w:pos="4153" w:leader="none"/>
        <w:tab w:val="right" w:pos="8306" w:leader="none"/>
      </w:tabs>
    </w:pPr>
    <w:rPr>
      <w:sz w:val="18"/>
      <w:szCs w:val="18"/>
      <w:lang w:eastAsia="en-US"/>
    </w:rPr>
  </w:style>
  <w:style w:type="numbering" w:styleId="12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681f6c30-40c0-43b9-a839-ad613f5d433c</errorID>
      <errorWord>(</errorWord>
      <group>L1_Format</group>
      <groupName>格式问题</groupName>
      <ability>L2_HalfPunc</ability>
      <abilityName>全半角检查</abilityName>
      <candidateList>
        <item>（</item>
      </candidateList>
      <explain>文本全半角错误。</explain>
      <paraID>2C9FDDDB</paraID>
      <start>225</start>
      <end>226</end>
      <status>modified</status>
      <modifiedWord>（</modifiedWord>
      <trackRevisions>false</trackRevisions>
    </reviewItem>
    <reviewItem>
      <errorID>b1a393d6-1cb5-46b6-af55-db2e38c6bf79</errorID>
      <errorWord>[2025]34号</errorWord>
      <group>L1_Knowledge</group>
      <groupName>知识性问题</groupName>
      <ability>L2_Knowledge</ability>
      <abilityName>其他知识</abilityName>
      <candidateList>
        <item>〔2025〕34号</item>
      </candidateList>
      <explain>发文字号格式错误。</explain>
      <paraID>2C9FDDDB</paraID>
      <start>229</start>
      <end>238</end>
      <status>modified</status>
      <modifiedWord>〔2025〕34号</modifiedWord>
      <trackRevisions>false</trackRevisions>
    </reviewItem>
    <reviewItem>
      <errorID>e88691b8-5c5f-4774-ad68-5dc2aa6fcac4</errorID>
      <errorWord>)</errorWord>
      <group>L1_Format</group>
      <groupName>格式问题</groupName>
      <ability>L2_HalfPunc</ability>
      <abilityName>全半角检查</abilityName>
      <candidateList>
        <item>）</item>
      </candidateList>
      <explain>文本全半角错误。</explain>
      <paraID>2C9FDDDB</paraID>
      <start>238</start>
      <end>239</end>
      <status>modified</status>
      <modifiedWord>）</modifiedWord>
      <trackRevisions>false</trackRevisions>
    </reviewItem>
    <reviewItem>
      <errorID>62634cfd-b0bd-4200-a914-f09bf43d378e</errorID>
      <errorWord>息见</errorWord>
      <group>L1_Word</group>
      <groupName>字词问题</groupName>
      <ability>L2_Typo</ability>
      <abilityName>字词错误</abilityName>
      <candidateList>
        <item>意见</item>
      </candidateList>
      <explain>存在字形相近字词的误用。</explain>
      <paraID>2C9FDDDB</paraID>
      <start>280</start>
      <end>282</end>
      <status>modified</status>
      <modifiedWord>意见</modifiedWord>
      <trackRevisions>false</trackRevisions>
    </reviewItem>
    <reviewItem>
      <errorID>e0d19123-844c-41f2-885d-d350b5ed8c5d</errorID>
      <errorWord>(</errorWord>
      <group>L1_Format</group>
      <groupName>格式问题</groupName>
      <ability>L2_HalfPunc</ability>
      <abilityName>全半角检查</abilityName>
      <candidateList>
        <item>（</item>
      </candidateList>
      <explain>文本全半角错误。</explain>
      <paraID>2C9FDDDB</paraID>
      <start>283</start>
      <end>284</end>
      <status>modified</status>
      <modifiedWord>（</modifiedWord>
      <trackRevisions>false</trackRevisions>
    </reviewItem>
    <reviewItem>
      <errorID>224b0641-0bbb-49c4-ac87-fc15a5caa05e</errorID>
      <errorWord>〔2025]30号</errorWord>
      <group>L1_Knowledge</group>
      <groupName>知识性问题</groupName>
      <ability>L2_Knowledge</ability>
      <abilityName>其他知识</abilityName>
      <candidateList>
        <item>〔2025〕30号</item>
      </candidateList>
      <explain>发文字号格式错误。</explain>
      <paraID>2C9FDDDB</paraID>
      <start>286</start>
      <end>295</end>
      <status>modified</status>
      <modifiedWord>〔2025〕30号</modifiedWord>
      <trackRevisions>false</trackRevisions>
    </reviewItem>
    <reviewItem>
      <errorID>7dcccc41-7eb7-402e-a1aa-5bf774f00aac</errorID>
      <errorWord>)</errorWord>
      <group>L1_Format</group>
      <groupName>格式问题</groupName>
      <ability>L2_HalfPunc</ability>
      <abilityName>全半角检查</abilityName>
      <candidateList>
        <item>）</item>
      </candidateList>
      <explain>文本全半角错误。</explain>
      <paraID>2C9FDDDB</paraID>
      <start>295</start>
      <end>296</end>
      <status>modified</status>
      <modifiedWord>）</modifiedWord>
      <trackRevisions>false</trackRevisions>
    </reviewItem>
    <reviewItem>
      <errorID>ec85cce1-3562-4a0d-909b-669e17f976dc</errorID>
      <errorWord>“.</errorWord>
      <group>L1_Punc</group>
      <groupName>标点问题</groupName>
      <ability>L2_Punc</ability>
      <abilityName>标点符号检查</abilityName>
      <candidateList>
        <item>“</item>
      </candidateList>
      <explain/>
      <paraID>62569175</paraID>
      <start>51</start>
      <end>53</end>
      <status>unmodified</status>
      <modifiedWord/>
      <trackRevisions>false</trackRevisions>
    </reviewItem>
    <reviewItem>
      <errorID>806fcfee-f51f-4799-bd54-07c35d504f74</errorID>
      <errorWord>“.</errorWord>
      <group>L1_Punc</group>
      <groupName>标点问题</groupName>
      <ability>L2_Punc</ability>
      <abilityName>标点符号检查</abilityName>
      <candidateList>
        <item>“</item>
      </candidateList>
      <explain/>
      <paraID>62569175</paraID>
      <start>66</start>
      <end>68</end>
      <status>unmodified</status>
      <modifiedWord/>
      <trackRevisions>false</trackRevisions>
    </reviewItem>
    <reviewItem>
      <errorID>8ac5248c-516d-45aa-a74a-f7987600e360</errorID>
      <errorWord>苏</errorWord>
      <group>L1_Word</group>
      <groupName>字词问题</groupName>
      <ability>L2_Typo</ability>
      <abilityName>字词错误</abilityName>
      <candidateList>
        <item>苏省</item>
      </candidateList>
      <explain/>
      <paraID>6A50BC54</paraID>
      <start>86</start>
      <end>87</end>
      <status>unmodified</status>
      <modifiedWord/>
      <trackRevisions>false</trackRevisions>
    </reviewItem>
    <reviewItem>
      <errorID>78ce5740-f242-44f9-86ec-9588ecf9ef67</errorID>
      <errorWord>“.</errorWord>
      <group>L1_Punc</group>
      <groupName>标点问题</groupName>
      <ability>L2_Punc</ability>
      <abilityName>标点符号检查</abilityName>
      <candidateList>
        <item>“</item>
      </candidateList>
      <explain/>
      <paraID>163C4B96</paraID>
      <start>12</start>
      <end>14</end>
      <status>unmodified</status>
      <modifiedWord/>
      <trackRevisions>false</trackRevisions>
    </reviewItem>
    <reviewItem>
      <errorID>facaefbb-1ae7-4abc-b67b-ac72cc394225</errorID>
      <errorWord>函</errorWord>
      <group>L1_Word</group>
      <groupName>字词问题</groupName>
      <ability>L2_Typo</ability>
      <abilityName>字词错误</abilityName>
      <candidateList>
        <item>函等</item>
      </candidateList>
      <explain/>
      <paraID>78E695C6</paraID>
      <start>67</start>
      <end>68</end>
      <status>unmodified</status>
      <modifiedWord/>
      <trackRevisions>false</trackRevisions>
    </reviewItem>
    <reviewItem>
      <errorID>705eb39e-50b2-4013-b85b-a95f23a9fc3d</errorID>
      <errorWord>“.</errorWord>
      <group>L1_Punc</group>
      <groupName>标点问题</groupName>
      <ability>L2_Punc</ability>
      <abilityName>标点符号检查</abilityName>
      <candidateList>
        <item>“</item>
      </candidateList>
      <explain/>
      <paraID>7E65BF45</paraID>
      <start>190</start>
      <end>192</end>
      <status>unmodified</status>
      <modifiedWord/>
      <trackRevisions>false</trackRevisions>
    </reviewItem>
    <reviewItem>
      <errorID>28d029c0-c83d-4927-acb9-d1f12a076658</errorID>
      <errorWord>判</errorWord>
      <group>L1_Word</group>
      <groupName>字词问题</groupName>
      <ability>L2_Typo</ability>
      <abilityName>字词错误</abilityName>
      <candidateList>
        <item>判定</item>
      </candidateList>
      <explain/>
      <paraID>31AD7ABC</paraID>
      <start>14</start>
      <end>15</end>
      <status>unmodified</status>
      <modifiedWord/>
      <trackRevisions>false</trackRevisions>
    </reviewItem>
    <reviewItem>
      <errorID>d7497aa7-4261-411e-b182-68d77fdde921</errorID>
      <errorWord>（</errorWord>
      <group>L1_Punc</group>
      <groupName>标点问题</groupName>
      <ability>L2_Punc</ability>
      <abilityName>标点符号检查</abilityName>
      <candidateList/>
      <explain>同一形式括号套用。</explain>
      <paraID>2A6A35F3</paraID>
      <start>94</start>
      <end>95</end>
      <status>unmodified</status>
      <modifiedWord/>
      <trackRevisions>false</trackRevisions>
    </reviewItem>
    <reviewItem>
      <errorID>d8d32268-4418-4ce7-ba92-293520b145a6</errorID>
      <errorWord>）</errorWord>
      <group>L1_Punc</group>
      <groupName>标点问题</groupName>
      <ability>L2_Punc</ability>
      <abilityName>标点符号检查</abilityName>
      <candidateList/>
      <explain>同一形式括号套用。</explain>
      <paraID>2A6A35F3</paraID>
      <start>107</start>
      <end>108</end>
      <status>unmodified</status>
      <modifiedWord/>
      <trackRevisions>false</trackRevisions>
    </reviewItem>
    <reviewItem>
      <errorID>ddd4214c-3631-4dd3-941e-f3f5afd3302c</errorID>
      <errorWord>苏</errorWord>
      <group>L1_Word</group>
      <groupName>字词问题</groupName>
      <ability>L2_Typo</ability>
      <abilityName>字词错误</abilityName>
      <candidateList>
        <item>苏省</item>
      </candidateList>
      <explain/>
      <paraID>76D6FF6E</paraID>
      <start>5</start>
      <end>6</end>
      <status>unmodified</status>
      <modifiedWord/>
      <trackRevisions>false</trackRevisions>
    </reviewItem>
    <reviewItem>
      <errorID>ce9b4ff4-373b-4db8-8a14-f408adec2ae2</errorID>
      <errorWord>依此类推</errorWord>
      <group>L1_Word</group>
      <groupName>字词问题</groupName>
      <ability>L2_Typo</ability>
      <abilityName>字词错误</abilityName>
      <candidateList>
        <item>以此类推</item>
      </candidateList>
      <explain>存在发音相同字词的误用。</explain>
      <paraID>307DBC42</paraID>
      <start>103</start>
      <end>107</end>
      <status>unmodified</status>
      <modifiedWord/>
      <trackRevisions>false</trackRevisions>
    </reviewItem>
    <reviewItem>
      <errorID>01a95e28-469b-4134-8dce-6ab4ef6dcc87</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4FCB07B3</paraID>
      <start>10</start>
      <end>11</end>
      <status>unmodified</status>
      <modifiedWord/>
      <trackRevisions>false</trackRevisions>
    </reviewItem>
    <reviewItem>
      <errorID>fd52615f-91b2-45b1-822a-6f46de1ffc2b</errorID>
      <errorWord>(</errorWord>
      <group>L1_Format</group>
      <groupName>格式问题</groupName>
      <ability>L2_HalfPunc</ability>
      <abilityName>全半角检查</abilityName>
      <candidateList>
        <item>（</item>
      </candidateList>
      <explain>文本全半角错误。</explain>
      <paraID>72E465B7</paraID>
      <start>35</start>
      <end>36</end>
      <status>modified</status>
      <modifiedWord>（</modifiedWord>
      <trackRevisions>false</trackRevisions>
    </reviewItem>
    <reviewItem>
      <errorID>d4130be1-2b87-4ede-b7ee-6c434113654d</errorID>
      <errorWord>[2025]34号</errorWord>
      <group>L1_Knowledge</group>
      <groupName>知识性问题</groupName>
      <ability>L2_Knowledge</ability>
      <abilityName>其他知识</abilityName>
      <candidateList>
        <item>〔2025〕34号</item>
      </candidateList>
      <explain>发文字号格式错误。</explain>
      <paraID>72E465B7</paraID>
      <start>39</start>
      <end>48</end>
      <status>modified</status>
      <modifiedWord>〔2025〕34号</modifiedWord>
      <trackRevisions>false</trackRevisions>
    </reviewItem>
    <reviewItem>
      <errorID>97a661ac-c93f-4a2e-9cb4-982bd8b227c4</errorID>
      <errorWord>)</errorWord>
      <group>L1_Format</group>
      <groupName>格式问题</groupName>
      <ability>L2_HalfPunc</ability>
      <abilityName>全半角检查</abilityName>
      <candidateList>
        <item>）</item>
      </candidateList>
      <explain>文本全半角错误。</explain>
      <paraID>72E465B7</paraID>
      <start>48</start>
      <end>49</end>
      <status>modified</status>
      <modifiedWord>）</modifiedWord>
      <trackRevisions>false</trackRevisions>
    </reviewItem>
    <reviewItem>
      <errorID>809ec078-a9f2-4b94-ab79-b6d1245c308d</errorID>
      <errorWord>&lt;</errorWord>
      <group>L1_Format</group>
      <groupName>格式问题</groupName>
      <ability>L2_HalfPunc</ability>
      <abilityName>全半角检查</abilityName>
      <candidateList>
        <item>〈</item>
      </candidateList>
      <explain>文本全半角错误。</explain>
      <paraID>72E465B7</paraID>
      <start>57</start>
      <end>58</end>
      <status>modified</status>
      <modifiedWord>〈</modifiedWord>
      <trackRevisions>false</trackRevisions>
    </reviewItem>
    <reviewItem>
      <errorID>49e094e4-ca37-4a5e-94d1-930f254dbb01</errorID>
      <errorWord>&gt;</errorWord>
      <group>L1_Format</group>
      <groupName>格式问题</groupName>
      <ability>L2_HalfPunc</ability>
      <abilityName>全半角检查</abilityName>
      <candidateList>
        <item>〉</item>
      </candidateList>
      <explain>文本全半角错误。</explain>
      <paraID>72E465B7</paraID>
      <start>88</start>
      <end>89</end>
      <status>modified</status>
      <modifiedWord>〉</modifiedWord>
      <trackRevisions>false</trackRevisions>
    </reviewItem>
    <reviewItem>
      <errorID>2899b137-5cd6-4be4-b9a1-f71f2ae807eb</errorID>
      <errorWord>(</errorWord>
      <group>L1_Format</group>
      <groupName>格式问题</groupName>
      <ability>L2_HalfPunc</ability>
      <abilityName>全半角检查</abilityName>
      <candidateList>
        <item>（</item>
      </candidateList>
      <explain>文本全半角错误。</explain>
      <paraID>72E465B7</paraID>
      <start>93</start>
      <end>94</end>
      <status>modified</status>
      <modifiedWord>（</modifiedWord>
      <trackRevisions>false</trackRevisions>
    </reviewItem>
    <reviewItem>
      <errorID>360450ce-b9a0-4fd3-aad1-abc5eb58854d</errorID>
      <errorWord>〔2025]30号</errorWord>
      <group>L1_Knowledge</group>
      <groupName>知识性问题</groupName>
      <ability>L2_Knowledge</ability>
      <abilityName>其他知识</abilityName>
      <candidateList>
        <item>〔2025〕30号</item>
      </candidateList>
      <explain>发文字号格式错误。</explain>
      <paraID>72E465B7</paraID>
      <start>96</start>
      <end>105</end>
      <status>modified</status>
      <modifiedWord>〔2025〕30号</modifiedWord>
      <trackRevisions>false</trackRevisions>
    </reviewItem>
    <reviewItem>
      <errorID>245f0da6-9f49-46d1-a20b-922c019c6d34</errorID>
      <errorWord>)</errorWord>
      <group>L1_Format</group>
      <groupName>格式问题</groupName>
      <ability>L2_HalfPunc</ability>
      <abilityName>全半角检查</abilityName>
      <candidateList>
        <item>）</item>
      </candidateList>
      <explain>文本全半角错误。</explain>
      <paraID>72E465B7</paraID>
      <start>105</start>
      <end>106</end>
      <status>modified</status>
      <modifiedWord>）</modifiedWord>
      <trackRevisions>false</trackRevisions>
    </reviewItem>
    <reviewItem>
      <errorID>b1c31d82-9c07-4f67-beab-729bdb2230cc</errorID>
      <errorWord>”</errorWord>
      <group>L1_Punc</group>
      <groupName>标点问题</groupName>
      <ability>L2_Punc</ability>
      <abilityName>标点符号检查</abilityName>
      <candidateList/>
      <explain/>
      <paraID>3FF21AFC</paraID>
      <start>59</start>
      <end>60</end>
      <status>unmodified</status>
      <modifiedWord/>
      <trackRevisions>false</trackRevisions>
    </reviewItem>
    <reviewItem>
      <errorID>993609c3-7197-42bc-b09a-f70eb36eb0de</errorID>
      <errorWord>”</errorWord>
      <group>L1_Punc</group>
      <groupName>标点问题</groupName>
      <ability>L2_Punc</ability>
      <abilityName>标点符号检查</abilityName>
      <candidateList/>
      <explain/>
      <paraID>3FF21AFC</paraID>
      <start>78</start>
      <end>79</end>
      <status>unmodified</status>
      <modifiedWord/>
      <trackRevisions>false</trackRevisions>
    </reviewItem>
    <reviewItem>
      <errorID>0c13a888-0e9b-4026-80f1-438b8923cd4f</errorID>
      <errorWord>》</errorWord>
      <group>L1_Word</group>
      <groupName>字词问题</groupName>
      <ability>L2_Typo</ability>
      <abilityName>字词错误</abilityName>
      <candidateList>
        <item>》和</item>
      </candidateList>
      <explain/>
      <paraID>3FD4A69F</paraID>
      <start>15</start>
      <end>17</end>
      <status>modified</status>
      <modifiedWord>》和</modifiedWord>
      <trackRevisions>false</trackRevisions>
    </reviewItem>
    <reviewItem>
      <errorID>584c8836-1392-4eaa-baf1-d223dd13011f</errorID>
      <errorWord>海拔高度</errorWord>
      <group>L1_Word</group>
      <groupName>字词问题</groupName>
      <ability>L2_Typo</ability>
      <abilityName>字词错误</abilityName>
      <candidateList>
        <item>海拔</item>
      </candidateList>
      <explain>〈名〉从平均海平面起算的高度。</explain>
      <paraID>2ED59E34</paraID>
      <start>28</start>
      <end>32</end>
      <status>unmodified</status>
      <modifiedWord/>
      <trackRevisions>false</trackRevisions>
    </reviewItem>
    <reviewItem>
      <errorID>8b35f51b-a108-42a5-b855-ec2579d0d57e</errorID>
      <errorWord>..</errorWord>
      <group>L1_Punc</group>
      <groupName>标点问题</groupName>
      <ability>L2_Punc</ability>
      <abilityName>标点符号检查</abilityName>
      <candidateList>
        <item>.</item>
      </candidateList>
      <explain/>
      <paraID>64119E7F</paraID>
      <start>1</start>
      <end>3</end>
      <status>unmodified</status>
      <modifiedWord/>
      <trackRevisions>false</trackRevisions>
    </reviewItem>
    <reviewItem>
      <errorID>f862e623-9556-493c-b5f6-de854d4eab53</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4D157F87</paraID>
      <start>84</start>
      <end>86</end>
      <status>unmodified</status>
      <modifiedWord/>
      <trackRevisions>false</trackRevisions>
    </reviewItem>
    <reviewItem>
      <errorID>b8588682-0069-46a4-bc34-9f4ad2908e1b</errorID>
      <errorWord>的</errorWord>
      <group>L1_Word</group>
      <groupName>字词问题</groupName>
      <ability>L2_Typo</ability>
      <abilityName>字词错误</abilityName>
      <candidateList>
        <item>的最</item>
      </candidateList>
      <explain/>
      <paraID>50B3DA96</paraID>
      <start>52</start>
      <end>53</end>
      <status>unmodified</status>
      <modifiedWord/>
      <trackRevisions>false</trackRevisions>
    </reviewItem>
    <reviewItem>
      <errorID>b299695b-ea2c-4790-bd98-816322824481</errorID>
      <errorWord>项目的</errorWord>
      <group>L1_Word</group>
      <groupName>字词问题</groupName>
      <ability>L2_Typo</ability>
      <abilityName>字词错误</abilityName>
      <candidateList>
        <item>项目</item>
      </candidateList>
      <explain>〈名〉事物分成的门类：服务～｜体育～｜建设～。</explain>
      <paraID>  A6EB85</paraID>
      <start>37</start>
      <end>40</end>
      <status>unmodified</status>
      <modifiedWord/>
      <trackRevisions>false</trackRevisions>
    </reviewItem>
    <reviewItem>
      <errorID>09a0bb7a-1ed6-466d-be80-b1c87d0e2e1e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E51D9D0</paraID>
      <start>16</start>
      <end>19</end>
      <status>unmodified</status>
      <modifiedWord/>
      <trackRevisions>false</trackRevisions>
    </reviewItem>
    <reviewItem>
      <errorID>ac640783-b408-4494-aa90-69443dd99543</errorID>
      <errorWord>考虑到</errorWord>
      <group>L1_Word</group>
      <groupName>字词问题</groupName>
      <ability>L2_Typo</ability>
      <abilityName>字词错误</abilityName>
      <candidateList>
        <item>考虑</item>
      </candidateList>
      <explain/>
      <paraID>1CB1CDAE</paraID>
      <start>119</start>
      <end>122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54EBFDB-1BC6-4B6E-9958-3BA6C7A499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杨晶</cp:lastModifiedBy>
  <cp:revision>3</cp:revision>
  <dcterms:created xsi:type="dcterms:W3CDTF">2026-01-04T03:02:00Z</dcterms:created>
  <dcterms:modified xsi:type="dcterms:W3CDTF">2026-01-05T06:37:56Z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8B6B6F3E7DAC4539BAB57F400C84C0B2_11</vt:lpwstr>
  </property>
  <property fmtid="{D5CDD505-2E9C-101B-9397-08002B2CF9AE}" pid="4" name="KSOTemplateDocerSaveRecord">
    <vt:lpwstr>eyJoZGlkIjoiNjZjY2E1ZjhjOTY5ZWM3MTZlNzk1NGExOWYyZDJkYTEiLCJ1c2VySWQiOiI0OTA3MzQ5MDEifQ==</vt:lpwstr>
  </property>
</Properties>
</file>